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cs="Open Sans"/>
          <w:b/>
          <w:bCs/>
          <w:color w:val="C06E72"/>
          <w:sz w:val="32"/>
          <w:szCs w:val="32"/>
          <w:lang w:val="en-GB"/>
        </w:rPr>
        <w:id w:val="-1795366981"/>
        <w:docPartObj>
          <w:docPartGallery w:val="Cover Pages"/>
          <w:docPartUnique/>
        </w:docPartObj>
      </w:sdtPr>
      <w:sdtEndPr>
        <w:rPr>
          <w:rFonts w:cstheme="minorBidi"/>
          <w:b w:val="0"/>
          <w:bCs w:val="0"/>
          <w:color w:val="auto"/>
          <w:sz w:val="22"/>
          <w:szCs w:val="22"/>
        </w:rPr>
      </w:sdtEndPr>
      <w:sdtContent>
        <w:p w14:paraId="21520E78" w14:textId="29677415" w:rsidR="00C86241" w:rsidRPr="003A0CB1" w:rsidRDefault="00870E05" w:rsidP="00C86241">
          <w:pPr>
            <w:spacing w:after="240" w:line="240" w:lineRule="auto"/>
            <w:jc w:val="center"/>
            <w:rPr>
              <w:rFonts w:ascii="Myriad Pro" w:eastAsia="+mn-ea" w:hAnsi="Myriad Pro" w:cs="+mn-cs"/>
              <w:b/>
              <w:bCs/>
              <w:color w:val="D99694"/>
              <w:kern w:val="24"/>
              <w:sz w:val="72"/>
              <w:szCs w:val="72"/>
              <w:lang w:val="en-GB" w:eastAsia="es-ES"/>
            </w:rPr>
          </w:pPr>
          <w:r w:rsidRPr="003A0CB1">
            <w:rPr>
              <w:rFonts w:ascii="Myriad Pro" w:hAnsi="Myriad Pro"/>
              <w:bCs/>
              <w:color w:val="002060"/>
              <w:kern w:val="24"/>
              <w:sz w:val="56"/>
              <w:szCs w:val="56"/>
              <w:lang w:val="en-GB" w:eastAsia="es-ES"/>
            </w:rPr>
            <w:t>Use of electronic money (EM) and payment service providers (PSPs) as a legal framework for the implemen</w:t>
          </w:r>
          <w:r w:rsidR="007D5659">
            <w:rPr>
              <w:rFonts w:ascii="Myriad Pro" w:hAnsi="Myriad Pro"/>
              <w:bCs/>
              <w:color w:val="002060"/>
              <w:kern w:val="24"/>
              <w:sz w:val="56"/>
              <w:szCs w:val="56"/>
              <w:lang w:val="en-GB" w:eastAsia="es-ES"/>
            </w:rPr>
            <w:t>tation of such means of payment, Jordan</w:t>
          </w:r>
        </w:p>
        <w:p w14:paraId="6401D0C2" w14:textId="77777777" w:rsidR="00C86241" w:rsidRPr="003A0CB1" w:rsidRDefault="00C86241" w:rsidP="00C86241">
          <w:pPr>
            <w:spacing w:line="240" w:lineRule="auto"/>
            <w:jc w:val="center"/>
            <w:rPr>
              <w:rFonts w:ascii="Myriad Pro" w:eastAsia="+mn-ea" w:hAnsi="Myriad Pro" w:cs="+mn-cs"/>
              <w:b/>
              <w:bCs/>
              <w:color w:val="D99694"/>
              <w:kern w:val="24"/>
              <w:sz w:val="72"/>
              <w:szCs w:val="72"/>
              <w:lang w:val="en-GB" w:eastAsia="es-ES"/>
            </w:rPr>
          </w:pPr>
          <w:r w:rsidRPr="003A0CB1">
            <w:rPr>
              <w:rFonts w:ascii="Myriad Pro" w:eastAsia="+mn-ea" w:hAnsi="Myriad Pro" w:cs="+mn-cs"/>
              <w:bCs/>
              <w:color w:val="D99694"/>
              <w:kern w:val="24"/>
              <w:sz w:val="72"/>
              <w:szCs w:val="72"/>
              <w:lang w:val="en-GB" w:eastAsia="es-ES"/>
            </w:rPr>
            <w:t>Project MedTOWN</w:t>
          </w:r>
        </w:p>
        <w:p w14:paraId="34B28109" w14:textId="77777777" w:rsidR="00C86241" w:rsidRPr="003A0CB1" w:rsidRDefault="00C86241" w:rsidP="00C86241">
          <w:pPr>
            <w:spacing w:after="240" w:line="240" w:lineRule="auto"/>
            <w:jc w:val="center"/>
            <w:rPr>
              <w:rFonts w:ascii="Myriad Pro" w:hAnsi="Myriad Pro"/>
              <w:b/>
              <w:sz w:val="24"/>
              <w:szCs w:val="24"/>
              <w:lang w:val="en-GB"/>
            </w:rPr>
          </w:pPr>
          <w:r w:rsidRPr="003A0CB1">
            <w:rPr>
              <w:rFonts w:ascii="Myriad Pro" w:eastAsia="+mn-ea" w:hAnsi="Myriad Pro" w:cs="+mn-cs"/>
              <w:bCs/>
              <w:iCs/>
              <w:color w:val="80181F"/>
              <w:kern w:val="24"/>
              <w:sz w:val="40"/>
              <w:szCs w:val="40"/>
              <w:lang w:val="en-GB" w:eastAsia="es-ES"/>
            </w:rPr>
            <w:t xml:space="preserve">Co-production of social policies with </w:t>
          </w:r>
          <w:r w:rsidRPr="003A0CB1">
            <w:rPr>
              <w:rFonts w:ascii="Myriad Pro" w:eastAsia="+mn-ea" w:hAnsi="Myriad Pro" w:cs="+mn-cs"/>
              <w:bCs/>
              <w:iCs/>
              <w:color w:val="80181F"/>
              <w:kern w:val="24"/>
              <w:sz w:val="40"/>
              <w:szCs w:val="40"/>
              <w:lang w:val="en-GB" w:eastAsia="es-ES"/>
            </w:rPr>
            <w:br/>
            <w:t>social and solidarity economy actors to fight poverty, inequality and social exclusion.</w:t>
          </w:r>
        </w:p>
        <w:p w14:paraId="3F0D18F3" w14:textId="77777777" w:rsidR="00C86241" w:rsidRPr="003A0CB1" w:rsidRDefault="00C86241" w:rsidP="00C86241">
          <w:pPr>
            <w:spacing w:after="240" w:line="240" w:lineRule="auto"/>
            <w:jc w:val="center"/>
            <w:rPr>
              <w:rFonts w:ascii="Myriad Pro" w:hAnsi="Myriad Pro"/>
              <w:b/>
              <w:sz w:val="24"/>
              <w:szCs w:val="24"/>
              <w:lang w:val="en-GB"/>
            </w:rPr>
          </w:pPr>
        </w:p>
        <w:p w14:paraId="74830495" w14:textId="4622E730" w:rsidR="00C86241" w:rsidRPr="003A0CB1" w:rsidRDefault="00C86241" w:rsidP="00C86241">
          <w:pPr>
            <w:spacing w:line="240" w:lineRule="auto"/>
            <w:jc w:val="center"/>
            <w:rPr>
              <w:rFonts w:ascii="Myriad Pro" w:eastAsia="+mn-ea" w:hAnsi="Myriad Pro" w:cs="+mn-cs"/>
              <w:b/>
              <w:color w:val="D99694"/>
              <w:kern w:val="24"/>
              <w:sz w:val="36"/>
              <w:szCs w:val="36"/>
              <w:lang w:val="en-GB" w:eastAsia="es-ES"/>
            </w:rPr>
          </w:pPr>
          <w:bookmarkStart w:id="0" w:name="_GoBack"/>
          <w:bookmarkEnd w:id="0"/>
        </w:p>
        <w:p w14:paraId="6153ADF4" w14:textId="42C5B898" w:rsidR="00C86241" w:rsidRPr="003A0CB1" w:rsidRDefault="00C86241" w:rsidP="00C86241">
          <w:pPr>
            <w:jc w:val="center"/>
            <w:rPr>
              <w:rFonts w:ascii="SegoeUI" w:hAnsi="SegoeUI" w:cs="SegoeUI"/>
              <w:color w:val="C46E73"/>
              <w:sz w:val="18"/>
              <w:szCs w:val="20"/>
              <w:lang w:val="en-GB"/>
            </w:rPr>
          </w:pPr>
        </w:p>
        <w:p w14:paraId="62456426" w14:textId="77777777" w:rsidR="00C86241" w:rsidRPr="003A0CB1" w:rsidRDefault="00C86241" w:rsidP="00C86241">
          <w:pPr>
            <w:autoSpaceDE w:val="0"/>
            <w:autoSpaceDN w:val="0"/>
            <w:adjustRightInd w:val="0"/>
            <w:spacing w:after="0" w:line="240" w:lineRule="auto"/>
            <w:jc w:val="both"/>
            <w:rPr>
              <w:rFonts w:ascii="SegoeUI" w:hAnsi="SegoeUI" w:cs="SegoeUI"/>
              <w:color w:val="C46E73"/>
              <w:sz w:val="18"/>
              <w:szCs w:val="20"/>
              <w:lang w:val="en-GB"/>
            </w:rPr>
          </w:pPr>
        </w:p>
        <w:p w14:paraId="1B1FDEF9" w14:textId="57AB7FC6" w:rsidR="00C86241" w:rsidRPr="003A0CB1" w:rsidRDefault="000D04AC" w:rsidP="00C86241">
          <w:pPr>
            <w:rPr>
              <w:b/>
              <w:bCs/>
              <w:sz w:val="24"/>
              <w:szCs w:val="24"/>
              <w:lang w:val="en-GB"/>
            </w:rPr>
            <w:sectPr w:rsidR="00C86241" w:rsidRPr="003A0CB1" w:rsidSect="00375307">
              <w:headerReference w:type="first" r:id="rId8"/>
              <w:footerReference w:type="first" r:id="rId9"/>
              <w:pgSz w:w="16838" w:h="11906" w:orient="landscape"/>
              <w:pgMar w:top="1134" w:right="1134" w:bottom="1701" w:left="1134" w:header="709" w:footer="709" w:gutter="0"/>
              <w:cols w:space="708"/>
              <w:titlePg/>
              <w:docGrid w:linePitch="360"/>
            </w:sectPr>
          </w:pPr>
        </w:p>
      </w:sdtContent>
    </w:sdt>
    <w:p w14:paraId="07A2D03A" w14:textId="77777777" w:rsidR="00375307" w:rsidRPr="003A0CB1" w:rsidRDefault="00375307" w:rsidP="00D426A8">
      <w:pPr>
        <w:rPr>
          <w:rFonts w:ascii="Segoe UI" w:hAnsi="Segoe UI" w:cs="Segoe UI"/>
          <w:b/>
          <w:bCs/>
          <w:lang w:val="en-GB"/>
        </w:rPr>
      </w:pPr>
      <w:r w:rsidRPr="003A0CB1">
        <w:rPr>
          <w:rFonts w:ascii="Segoe UI" w:hAnsi="Segoe UI" w:cs="Segoe UI"/>
          <w:b/>
          <w:bCs/>
          <w:lang w:val="en-GB"/>
        </w:rPr>
        <w:lastRenderedPageBreak/>
        <w:t>QUESTIONNAIRE PROJECTS PHASES AND LOCAL PARTNERS. MEDTOWN PROJECT. 3rd LOT.</w:t>
      </w:r>
    </w:p>
    <w:p w14:paraId="0C1AF141" w14:textId="26E06C5D" w:rsidR="00375307" w:rsidRPr="003A0CB1" w:rsidRDefault="00375307" w:rsidP="00BD73B5">
      <w:pPr>
        <w:rPr>
          <w:rFonts w:ascii="Segoe UI" w:hAnsi="Segoe UI" w:cs="Segoe UI"/>
          <w:b/>
          <w:bCs/>
          <w:u w:val="single"/>
          <w:lang w:val="en-GB"/>
        </w:rPr>
      </w:pPr>
      <w:r w:rsidRPr="003A0CB1">
        <w:rPr>
          <w:rFonts w:ascii="Segoe UI" w:hAnsi="Segoe UI" w:cs="Segoe UI"/>
          <w:b/>
          <w:bCs/>
          <w:lang w:val="en-GB"/>
        </w:rPr>
        <w:t xml:space="preserve">DEMOSTRATIVE ACTION. Name: </w:t>
      </w:r>
      <w:r w:rsidR="00BD73B5" w:rsidRPr="003A0CB1">
        <w:rPr>
          <w:rFonts w:ascii="Segoe UI" w:hAnsi="Segoe UI" w:cs="Segoe UI"/>
          <w:b/>
          <w:bCs/>
          <w:lang w:val="en-GB"/>
        </w:rPr>
        <w:t xml:space="preserve"> </w:t>
      </w:r>
      <w:r w:rsidR="00BD73B5" w:rsidRPr="003A0CB1">
        <w:rPr>
          <w:rFonts w:ascii="Segoe UI" w:hAnsi="Segoe UI" w:cs="Segoe UI"/>
          <w:lang w:val="en-GB"/>
        </w:rPr>
        <w:t>Business incubator for People with disabilities (PWD)</w:t>
      </w:r>
      <w:r w:rsidR="00BD73B5" w:rsidRPr="003A0CB1">
        <w:rPr>
          <w:rFonts w:ascii="Segoe UI" w:hAnsi="Segoe UI" w:cs="Segoe UI"/>
          <w:b/>
          <w:bCs/>
          <w:lang w:val="en-GB"/>
        </w:rPr>
        <w:t xml:space="preserve">     </w:t>
      </w:r>
      <w:r w:rsidRPr="003A0CB1">
        <w:rPr>
          <w:rFonts w:ascii="Segoe UI" w:hAnsi="Segoe UI" w:cs="Segoe UI"/>
          <w:b/>
          <w:bCs/>
          <w:lang w:val="en-GB"/>
        </w:rPr>
        <w:t xml:space="preserve"> MUNICIPALITY, REGION AND COUNTRY ACTION:</w:t>
      </w:r>
      <w:r w:rsidR="00BD73B5" w:rsidRPr="003A0CB1">
        <w:rPr>
          <w:rFonts w:ascii="Segoe UI" w:hAnsi="Segoe UI" w:cs="Segoe UI"/>
          <w:b/>
          <w:bCs/>
          <w:lang w:val="en-GB"/>
        </w:rPr>
        <w:t xml:space="preserve"> </w:t>
      </w:r>
      <w:proofErr w:type="spellStart"/>
      <w:r w:rsidR="00BD73B5" w:rsidRPr="003A0CB1">
        <w:rPr>
          <w:rFonts w:ascii="Segoe UI" w:hAnsi="Segoe UI" w:cs="Segoe UI"/>
          <w:lang w:val="en-GB"/>
        </w:rPr>
        <w:t>Dair</w:t>
      </w:r>
      <w:proofErr w:type="spellEnd"/>
      <w:r w:rsidR="00BD73B5" w:rsidRPr="003A0CB1">
        <w:rPr>
          <w:rFonts w:ascii="Segoe UI" w:hAnsi="Segoe UI" w:cs="Segoe UI"/>
          <w:lang w:val="en-GB"/>
        </w:rPr>
        <w:t xml:space="preserve"> Abi Said, Koura District, Jordan</w:t>
      </w:r>
    </w:p>
    <w:p w14:paraId="00A5F63A" w14:textId="75BEFA75" w:rsidR="00375307" w:rsidRPr="003A0CB1" w:rsidRDefault="00375307" w:rsidP="00E14664">
      <w:pPr>
        <w:rPr>
          <w:rFonts w:ascii="Segoe UI" w:hAnsi="Segoe UI" w:cs="Segoe UI"/>
          <w:b/>
          <w:bCs/>
          <w:u w:val="single"/>
          <w:lang w:val="en-GB"/>
        </w:rPr>
      </w:pPr>
    </w:p>
    <w:p w14:paraId="79E3B79A" w14:textId="77777777" w:rsidR="00375307" w:rsidRPr="003A0CB1" w:rsidRDefault="00375307" w:rsidP="00D426A8">
      <w:pPr>
        <w:ind w:left="360"/>
        <w:rPr>
          <w:rFonts w:ascii="Segoe UI" w:hAnsi="Segoe UI" w:cs="Segoe UI"/>
          <w:b/>
          <w:bCs/>
          <w:u w:val="single"/>
          <w:lang w:val="en-GB"/>
        </w:rPr>
      </w:pPr>
    </w:p>
    <w:p w14:paraId="3007996A" w14:textId="77777777" w:rsidR="00375307" w:rsidRPr="003A0CB1" w:rsidRDefault="00375307" w:rsidP="00D426A8">
      <w:pPr>
        <w:keepNext/>
        <w:rPr>
          <w:rFonts w:ascii="Segoe UI" w:hAnsi="Segoe UI" w:cs="Segoe UI"/>
          <w:b/>
          <w:bCs/>
          <w:color w:val="80181F"/>
          <w:lang w:val="en-GB"/>
        </w:rPr>
      </w:pPr>
      <w:r w:rsidRPr="003A0CB1">
        <w:rPr>
          <w:rFonts w:ascii="Segoe UI" w:hAnsi="Segoe UI" w:cs="Segoe UI"/>
          <w:b/>
          <w:bCs/>
          <w:color w:val="80181F"/>
          <w:lang w:val="en-GB"/>
        </w:rPr>
        <w:t>BRIEF DESCRIPTION OF CONTEXT:</w:t>
      </w:r>
    </w:p>
    <w:p w14:paraId="0202EC06" w14:textId="40005907" w:rsidR="00464677" w:rsidRPr="003A0CB1" w:rsidRDefault="00324ECD" w:rsidP="00464677">
      <w:pPr>
        <w:jc w:val="both"/>
        <w:rPr>
          <w:rFonts w:asciiTheme="majorBidi" w:hAnsiTheme="majorBidi" w:cstheme="majorBidi"/>
          <w:lang w:val="en-GB"/>
        </w:rPr>
      </w:pPr>
      <w:r w:rsidRPr="003A0CB1">
        <w:rPr>
          <w:rFonts w:asciiTheme="majorBidi" w:hAnsiTheme="majorBidi" w:cstheme="majorBidi"/>
          <w:lang w:val="en-GB"/>
        </w:rPr>
        <w:t>There is no specific form of economic services, so there is no consideration for currency different from the legal tender regulated and there is no legal framework that applies to them.</w:t>
      </w:r>
      <w:r w:rsidR="00C618DA" w:rsidRPr="003A0CB1">
        <w:rPr>
          <w:rFonts w:asciiTheme="majorBidi" w:hAnsiTheme="majorBidi" w:cstheme="majorBidi"/>
          <w:lang w:val="en-GB"/>
        </w:rPr>
        <w:t xml:space="preserve"> While improvements in technology, coupled with growing demand for digital payment methods, are increasingly re-shaping the way payments are made, the payments space continues to be dominated by banks and PSPs in Jordan.</w:t>
      </w:r>
    </w:p>
    <w:p w14:paraId="7E420E50" w14:textId="77777777" w:rsidR="00324ECD" w:rsidRPr="003A0CB1" w:rsidRDefault="00324ECD" w:rsidP="00516016">
      <w:pPr>
        <w:rPr>
          <w:rFonts w:asciiTheme="majorBidi" w:hAnsiTheme="majorBidi" w:cstheme="majorBidi"/>
          <w:lang w:val="en-GB"/>
        </w:rPr>
      </w:pPr>
    </w:p>
    <w:p w14:paraId="0CAD5649" w14:textId="77777777" w:rsidR="00375307" w:rsidRPr="003A0CB1" w:rsidRDefault="00375307" w:rsidP="00375307">
      <w:pPr>
        <w:keepNext/>
        <w:rPr>
          <w:rFonts w:ascii="Segoe UI" w:hAnsi="Segoe UI" w:cs="Segoe UI"/>
          <w:b/>
          <w:bCs/>
          <w:color w:val="80181F"/>
          <w:lang w:val="en-GB"/>
        </w:rPr>
      </w:pPr>
      <w:r w:rsidRPr="003A0CB1">
        <w:rPr>
          <w:rFonts w:ascii="Segoe UI" w:hAnsi="Segoe UI" w:cs="Segoe UI"/>
          <w:b/>
          <w:bCs/>
          <w:color w:val="80181F"/>
          <w:lang w:val="en-GB"/>
        </w:rPr>
        <w:t>ARRAY TO BE FILLED IN:</w:t>
      </w:r>
    </w:p>
    <w:tbl>
      <w:tblPr>
        <w:tblStyle w:val="Tablaconcuadrcula1"/>
        <w:tblW w:w="14175"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CellMar>
          <w:top w:w="57" w:type="dxa"/>
          <w:left w:w="57" w:type="dxa"/>
          <w:bottom w:w="57" w:type="dxa"/>
          <w:right w:w="57" w:type="dxa"/>
        </w:tblCellMar>
        <w:tblLook w:val="04A0" w:firstRow="1" w:lastRow="0" w:firstColumn="1" w:lastColumn="0" w:noHBand="0" w:noVBand="1"/>
      </w:tblPr>
      <w:tblGrid>
        <w:gridCol w:w="491"/>
        <w:gridCol w:w="2914"/>
        <w:gridCol w:w="3848"/>
        <w:gridCol w:w="4363"/>
        <w:gridCol w:w="2559"/>
      </w:tblGrid>
      <w:tr w:rsidR="00375307" w:rsidRPr="003A0CB1" w14:paraId="7BDB34AF" w14:textId="77777777" w:rsidTr="00D426A8">
        <w:trPr>
          <w:cantSplit/>
          <w:tblHeader/>
        </w:trPr>
        <w:tc>
          <w:tcPr>
            <w:tcW w:w="491" w:type="dxa"/>
            <w:shd w:val="clear" w:color="auto" w:fill="80181F"/>
            <w:vAlign w:val="center"/>
          </w:tcPr>
          <w:p w14:paraId="63C139CA" w14:textId="77777777" w:rsidR="00375307" w:rsidRPr="003A0CB1" w:rsidRDefault="00375307" w:rsidP="00375307">
            <w:pPr>
              <w:jc w:val="center"/>
              <w:rPr>
                <w:rFonts w:ascii="Segoe UI" w:hAnsi="Segoe UI" w:cs="Segoe UI"/>
                <w:b/>
                <w:bCs/>
                <w:lang w:val="en-GB"/>
              </w:rPr>
            </w:pPr>
            <w:r w:rsidRPr="003A0CB1">
              <w:rPr>
                <w:rFonts w:ascii="Segoe UI" w:hAnsi="Segoe UI" w:cs="Segoe UI"/>
                <w:b/>
                <w:bCs/>
                <w:lang w:val="en-GB"/>
              </w:rPr>
              <w:t>Nº</w:t>
            </w:r>
          </w:p>
        </w:tc>
        <w:tc>
          <w:tcPr>
            <w:tcW w:w="2914" w:type="dxa"/>
            <w:shd w:val="clear" w:color="auto" w:fill="80181F"/>
          </w:tcPr>
          <w:p w14:paraId="06D2F3FF" w14:textId="77777777" w:rsidR="00375307" w:rsidRPr="003A0CB1" w:rsidRDefault="00375307" w:rsidP="00375307">
            <w:pPr>
              <w:rPr>
                <w:rFonts w:ascii="Segoe UI" w:hAnsi="Segoe UI" w:cs="Segoe UI"/>
                <w:b/>
                <w:bCs/>
                <w:lang w:val="en-GB"/>
              </w:rPr>
            </w:pPr>
            <w:r w:rsidRPr="003A0CB1">
              <w:rPr>
                <w:rFonts w:ascii="Segoe UI" w:hAnsi="Segoe UI" w:cs="Segoe UI"/>
                <w:b/>
                <w:bCs/>
                <w:lang w:val="en-GB"/>
              </w:rPr>
              <w:t>ASPECTS TO BE REPORTED</w:t>
            </w:r>
          </w:p>
        </w:tc>
        <w:tc>
          <w:tcPr>
            <w:tcW w:w="3848" w:type="dxa"/>
            <w:shd w:val="clear" w:color="auto" w:fill="80181F"/>
          </w:tcPr>
          <w:p w14:paraId="65E7298B" w14:textId="77777777" w:rsidR="00375307" w:rsidRPr="003A0CB1" w:rsidRDefault="00375307" w:rsidP="00375307">
            <w:pPr>
              <w:rPr>
                <w:rFonts w:ascii="Segoe UI" w:hAnsi="Segoe UI" w:cs="Segoe UI"/>
                <w:b/>
                <w:bCs/>
                <w:lang w:val="en-GB"/>
              </w:rPr>
            </w:pPr>
            <w:r w:rsidRPr="003A0CB1">
              <w:rPr>
                <w:rFonts w:ascii="Segoe UI" w:hAnsi="Segoe UI" w:cs="Segoe UI"/>
                <w:b/>
                <w:bCs/>
                <w:lang w:val="en-GB"/>
              </w:rPr>
              <w:t>ACTIONS</w:t>
            </w:r>
          </w:p>
        </w:tc>
        <w:tc>
          <w:tcPr>
            <w:tcW w:w="4363" w:type="dxa"/>
            <w:shd w:val="clear" w:color="auto" w:fill="80181F"/>
          </w:tcPr>
          <w:p w14:paraId="7031A444" w14:textId="77777777" w:rsidR="00375307" w:rsidRPr="003A0CB1" w:rsidRDefault="00375307" w:rsidP="00375307">
            <w:pPr>
              <w:rPr>
                <w:rFonts w:ascii="Segoe UI" w:hAnsi="Segoe UI" w:cs="Segoe UI"/>
                <w:b/>
                <w:bCs/>
                <w:lang w:val="en-GB"/>
              </w:rPr>
            </w:pPr>
            <w:r w:rsidRPr="003A0CB1">
              <w:rPr>
                <w:rFonts w:ascii="Segoe UI" w:hAnsi="Segoe UI" w:cs="Segoe UI"/>
                <w:b/>
                <w:bCs/>
                <w:lang w:val="en-GB"/>
              </w:rPr>
              <w:t>OTHER ACTIONS/ DISCLAIMERS</w:t>
            </w:r>
          </w:p>
        </w:tc>
        <w:tc>
          <w:tcPr>
            <w:tcW w:w="2559" w:type="dxa"/>
            <w:shd w:val="clear" w:color="auto" w:fill="80181F"/>
          </w:tcPr>
          <w:p w14:paraId="3B77BEB0" w14:textId="77777777" w:rsidR="00375307" w:rsidRPr="003A0CB1" w:rsidRDefault="00375307" w:rsidP="00375307">
            <w:pPr>
              <w:rPr>
                <w:rFonts w:ascii="Segoe UI" w:hAnsi="Segoe UI" w:cs="Segoe UI"/>
                <w:b/>
                <w:bCs/>
                <w:lang w:val="en-GB"/>
              </w:rPr>
            </w:pPr>
            <w:r w:rsidRPr="003A0CB1">
              <w:rPr>
                <w:rFonts w:ascii="Segoe UI" w:hAnsi="Segoe UI" w:cs="Segoe UI"/>
                <w:b/>
                <w:bCs/>
                <w:lang w:val="en-GB"/>
              </w:rPr>
              <w:t>OTHER DISCLAIMERS</w:t>
            </w:r>
          </w:p>
        </w:tc>
      </w:tr>
      <w:tr w:rsidR="00D27AC1" w:rsidRPr="003A0CB1" w14:paraId="781AAAF4" w14:textId="77777777" w:rsidTr="00D426A8">
        <w:tc>
          <w:tcPr>
            <w:tcW w:w="491" w:type="dxa"/>
            <w:shd w:val="clear" w:color="auto" w:fill="C36E73"/>
          </w:tcPr>
          <w:p w14:paraId="23811A1B" w14:textId="0EC81988" w:rsidR="00D27AC1" w:rsidRPr="003A0CB1" w:rsidRDefault="00D27AC1" w:rsidP="00D27AC1">
            <w:pPr>
              <w:jc w:val="center"/>
              <w:rPr>
                <w:rFonts w:ascii="Segoe UI" w:hAnsi="Segoe UI" w:cs="Segoe UI"/>
                <w:b/>
                <w:bCs/>
                <w:color w:val="FFFFFF" w:themeColor="background1"/>
                <w:lang w:val="en-GB"/>
              </w:rPr>
            </w:pPr>
            <w:r w:rsidRPr="003A0CB1">
              <w:rPr>
                <w:b/>
                <w:bCs/>
                <w:color w:val="FFFFFF" w:themeColor="background1"/>
                <w:lang w:val="en-GB"/>
              </w:rPr>
              <w:t>1</w:t>
            </w:r>
            <w:r w:rsidRPr="003A0CB1">
              <w:rPr>
                <w:rStyle w:val="Refdenotaalpie"/>
                <w:b/>
                <w:bCs/>
                <w:color w:val="FFFFFF" w:themeColor="background1"/>
                <w:lang w:val="en-GB"/>
              </w:rPr>
              <w:footnoteReference w:id="1"/>
            </w:r>
          </w:p>
        </w:tc>
        <w:tc>
          <w:tcPr>
            <w:tcW w:w="2914" w:type="dxa"/>
            <w:shd w:val="clear" w:color="auto" w:fill="auto"/>
          </w:tcPr>
          <w:p w14:paraId="2AD35374" w14:textId="6424E674" w:rsidR="00D27AC1" w:rsidRPr="003A0CB1" w:rsidRDefault="00D27AC1" w:rsidP="00D27AC1">
            <w:pPr>
              <w:rPr>
                <w:rFonts w:ascii="Segoe UI" w:hAnsi="Segoe UI" w:cs="Segoe UI"/>
                <w:b/>
                <w:bCs/>
                <w:color w:val="80181F"/>
                <w:lang w:val="en-GB"/>
              </w:rPr>
            </w:pPr>
            <w:r w:rsidRPr="003A0CB1">
              <w:rPr>
                <w:rFonts w:ascii="Segoe UI" w:hAnsi="Segoe UI" w:cs="Segoe UI"/>
                <w:b/>
                <w:bCs/>
                <w:color w:val="80181F"/>
                <w:lang w:val="en-GB"/>
              </w:rPr>
              <w:t>Existing applicable legislation governing EM and PSPs</w:t>
            </w:r>
          </w:p>
        </w:tc>
        <w:tc>
          <w:tcPr>
            <w:tcW w:w="3848" w:type="dxa"/>
          </w:tcPr>
          <w:p w14:paraId="27E1F499" w14:textId="77777777" w:rsidR="00D27AC1" w:rsidRPr="003A0CB1" w:rsidRDefault="00D27AC1" w:rsidP="00D27AC1">
            <w:pPr>
              <w:pStyle w:val="Other0"/>
              <w:jc w:val="both"/>
              <w:rPr>
                <w:rFonts w:asciiTheme="majorBidi" w:hAnsiTheme="majorBidi" w:cstheme="majorBidi"/>
                <w:lang w:val="en-GB"/>
              </w:rPr>
            </w:pPr>
            <w:r w:rsidRPr="003A0CB1">
              <w:rPr>
                <w:rFonts w:asciiTheme="majorBidi" w:hAnsiTheme="majorBidi" w:cstheme="majorBidi"/>
                <w:lang w:val="en-GB"/>
              </w:rPr>
              <w:t>The Electronic Payment and Money Transfer Bylaw No.(111) of 2017 issued pursuant to the provisions of articles (21) and (22) of the Electronic Transactions Law No.(15) of 2015.</w:t>
            </w:r>
          </w:p>
          <w:p w14:paraId="00ECC256" w14:textId="7DB8715D" w:rsidR="00D27AC1" w:rsidRPr="003A0CB1" w:rsidRDefault="00D27AC1" w:rsidP="00D27AC1">
            <w:pPr>
              <w:rPr>
                <w:rFonts w:asciiTheme="majorBidi" w:hAnsiTheme="majorBidi" w:cstheme="majorBidi"/>
                <w:lang w:val="en-GB"/>
              </w:rPr>
            </w:pPr>
          </w:p>
        </w:tc>
        <w:tc>
          <w:tcPr>
            <w:tcW w:w="4363" w:type="dxa"/>
          </w:tcPr>
          <w:p w14:paraId="710284A2" w14:textId="77777777" w:rsidR="00D27AC1" w:rsidRPr="003A0CB1" w:rsidRDefault="00D27AC1" w:rsidP="00D27AC1">
            <w:pPr>
              <w:pStyle w:val="Other0"/>
              <w:jc w:val="both"/>
              <w:rPr>
                <w:rFonts w:asciiTheme="majorBidi" w:hAnsiTheme="majorBidi" w:cstheme="majorBidi"/>
                <w:lang w:val="en-GB"/>
              </w:rPr>
            </w:pPr>
            <w:r w:rsidRPr="003A0CB1">
              <w:rPr>
                <w:rFonts w:asciiTheme="majorBidi" w:hAnsiTheme="majorBidi" w:cstheme="majorBidi"/>
                <w:lang w:val="en-GB"/>
              </w:rPr>
              <w:t xml:space="preserve">Despite a stable and profitable financial sector, Jordan has low levels of financial inclusion and cash remains prevalent. According to Findex (2017), 25 percent of the adult population in Jordan has access to some form of account, and 6.4 percent use debit cards for payments. There remains a lack of trust in financial institutions, and this fuels the ongoing growth in use of cash as a payment instrument, with electronic payments (e-payments) mechanisms remaining relatively stagnant. </w:t>
            </w:r>
          </w:p>
          <w:p w14:paraId="15E8167E" w14:textId="08A727BA" w:rsidR="00D27AC1" w:rsidRPr="003A0CB1" w:rsidRDefault="00D27AC1" w:rsidP="00D426A8">
            <w:pPr>
              <w:jc w:val="both"/>
              <w:rPr>
                <w:rFonts w:asciiTheme="majorBidi" w:hAnsiTheme="majorBidi" w:cstheme="majorBidi"/>
                <w:lang w:val="en-GB"/>
              </w:rPr>
            </w:pPr>
            <w:r w:rsidRPr="003A0CB1">
              <w:rPr>
                <w:rFonts w:asciiTheme="majorBidi" w:hAnsiTheme="majorBidi" w:cstheme="majorBidi"/>
                <w:lang w:val="en-GB"/>
              </w:rPr>
              <w:t xml:space="preserve">Attempts to introduce mobile payments previously failed, but an innovative and </w:t>
            </w:r>
            <w:r w:rsidRPr="003A0CB1">
              <w:rPr>
                <w:rFonts w:asciiTheme="majorBidi" w:hAnsiTheme="majorBidi" w:cstheme="majorBidi"/>
                <w:lang w:val="en-GB"/>
              </w:rPr>
              <w:lastRenderedPageBreak/>
              <w:t>ambitious regulatory environment alongside some equally innovative private sector actors has resulted in a renewed focus on the area, presenting new opportunities for growth in digital financial services use throughout Jordan. The Central Bank of Jordan (CBJ) has recently embarked on a national strategy to try to increase financial inclusion across the country.</w:t>
            </w:r>
          </w:p>
        </w:tc>
        <w:tc>
          <w:tcPr>
            <w:tcW w:w="2559" w:type="dxa"/>
          </w:tcPr>
          <w:p w14:paraId="19D76A6E" w14:textId="70A15278" w:rsidR="00D27AC1" w:rsidRPr="003A0CB1" w:rsidRDefault="00D27AC1" w:rsidP="00D27AC1">
            <w:pPr>
              <w:jc w:val="both"/>
              <w:rPr>
                <w:rFonts w:asciiTheme="majorBidi" w:hAnsiTheme="majorBidi" w:cstheme="majorBidi"/>
                <w:lang w:val="en-GB"/>
              </w:rPr>
            </w:pPr>
            <w:r w:rsidRPr="003A0CB1">
              <w:rPr>
                <w:rFonts w:asciiTheme="majorBidi" w:hAnsiTheme="majorBidi" w:cstheme="majorBidi"/>
                <w:lang w:val="en-GB"/>
              </w:rPr>
              <w:lastRenderedPageBreak/>
              <w:t>N.A.</w:t>
            </w:r>
          </w:p>
        </w:tc>
      </w:tr>
      <w:tr w:rsidR="00D27AC1" w:rsidRPr="005B6D1F" w14:paraId="20497F46" w14:textId="77777777" w:rsidTr="00D426A8">
        <w:tc>
          <w:tcPr>
            <w:tcW w:w="491" w:type="dxa"/>
            <w:shd w:val="clear" w:color="auto" w:fill="C36E73"/>
          </w:tcPr>
          <w:p w14:paraId="321D428C" w14:textId="79CE9908" w:rsidR="00D27AC1" w:rsidRPr="003A0CB1" w:rsidRDefault="00D27AC1" w:rsidP="00D27AC1">
            <w:pPr>
              <w:jc w:val="center"/>
              <w:rPr>
                <w:rFonts w:ascii="Segoe UI" w:hAnsi="Segoe UI" w:cs="Segoe UI"/>
                <w:b/>
                <w:bCs/>
                <w:color w:val="FFFFFF" w:themeColor="background1"/>
                <w:lang w:val="en-GB"/>
              </w:rPr>
            </w:pPr>
            <w:r w:rsidRPr="003A0CB1">
              <w:rPr>
                <w:b/>
                <w:bCs/>
                <w:color w:val="FFFFFF" w:themeColor="background1"/>
                <w:lang w:val="en-GB"/>
              </w:rPr>
              <w:t>2</w:t>
            </w:r>
          </w:p>
        </w:tc>
        <w:tc>
          <w:tcPr>
            <w:tcW w:w="2914" w:type="dxa"/>
            <w:shd w:val="clear" w:color="auto" w:fill="auto"/>
          </w:tcPr>
          <w:p w14:paraId="2B5A892F" w14:textId="05D1C8C9" w:rsidR="00D27AC1" w:rsidRPr="003A0CB1" w:rsidRDefault="00D27AC1" w:rsidP="00D27AC1">
            <w:pPr>
              <w:rPr>
                <w:rFonts w:ascii="Segoe UI" w:hAnsi="Segoe UI" w:cs="Segoe UI"/>
                <w:b/>
                <w:bCs/>
                <w:color w:val="80181F"/>
                <w:lang w:val="en-GB"/>
              </w:rPr>
            </w:pPr>
            <w:r w:rsidRPr="003A0CB1">
              <w:rPr>
                <w:rFonts w:ascii="Segoe UI" w:hAnsi="Segoe UI" w:cs="Segoe UI"/>
                <w:b/>
                <w:bCs/>
                <w:color w:val="80181F"/>
                <w:lang w:val="en-GB"/>
              </w:rPr>
              <w:t>Purpose of the regulation</w:t>
            </w:r>
          </w:p>
        </w:tc>
        <w:tc>
          <w:tcPr>
            <w:tcW w:w="3848" w:type="dxa"/>
          </w:tcPr>
          <w:p w14:paraId="4B4DAAAA" w14:textId="15C8096F" w:rsidR="00D27AC1" w:rsidRPr="003A0CB1" w:rsidRDefault="00D27AC1" w:rsidP="00D426A8">
            <w:pPr>
              <w:jc w:val="both"/>
              <w:rPr>
                <w:rFonts w:asciiTheme="majorBidi" w:hAnsiTheme="majorBidi" w:cstheme="majorBidi"/>
                <w:lang w:val="en-GB"/>
              </w:rPr>
            </w:pPr>
            <w:r w:rsidRPr="003A0CB1">
              <w:rPr>
                <w:rFonts w:asciiTheme="majorBidi" w:hAnsiTheme="majorBidi" w:cstheme="majorBidi"/>
                <w:lang w:val="en-GB"/>
              </w:rPr>
              <w:t>The regulations identify the work procedures related to e-payment systems and ways to settle conflicts that may arise between parties engaged in an electronic money transfer, in addition to setting the conditions necessary to issue e-cheques.</w:t>
            </w:r>
          </w:p>
        </w:tc>
        <w:tc>
          <w:tcPr>
            <w:tcW w:w="4363" w:type="dxa"/>
          </w:tcPr>
          <w:p w14:paraId="7D990662" w14:textId="77777777" w:rsidR="00D27AC1" w:rsidRPr="003A0CB1" w:rsidRDefault="00D27AC1" w:rsidP="00D426A8">
            <w:pPr>
              <w:jc w:val="both"/>
              <w:rPr>
                <w:rFonts w:asciiTheme="majorBidi" w:hAnsiTheme="majorBidi" w:cstheme="majorBidi"/>
                <w:lang w:val="en-GB"/>
              </w:rPr>
            </w:pPr>
          </w:p>
        </w:tc>
        <w:tc>
          <w:tcPr>
            <w:tcW w:w="2559" w:type="dxa"/>
          </w:tcPr>
          <w:p w14:paraId="7296DA81" w14:textId="77777777" w:rsidR="00D27AC1" w:rsidRPr="003A0CB1" w:rsidRDefault="00D27AC1" w:rsidP="00D426A8">
            <w:pPr>
              <w:jc w:val="both"/>
              <w:rPr>
                <w:rFonts w:asciiTheme="majorBidi" w:hAnsiTheme="majorBidi" w:cstheme="majorBidi"/>
                <w:lang w:val="en-GB"/>
              </w:rPr>
            </w:pPr>
          </w:p>
        </w:tc>
      </w:tr>
      <w:tr w:rsidR="00375307" w:rsidRPr="005B6D1F" w14:paraId="2F801FCF" w14:textId="77777777" w:rsidTr="00D426A8">
        <w:tc>
          <w:tcPr>
            <w:tcW w:w="491" w:type="dxa"/>
            <w:shd w:val="clear" w:color="auto" w:fill="C36E73"/>
          </w:tcPr>
          <w:p w14:paraId="3EA4765F" w14:textId="354383E1" w:rsidR="00375307" w:rsidRPr="003A0CB1" w:rsidRDefault="00375307" w:rsidP="00375307">
            <w:pPr>
              <w:jc w:val="center"/>
              <w:rPr>
                <w:rFonts w:ascii="Segoe UI" w:hAnsi="Segoe UI" w:cs="Segoe UI"/>
                <w:b/>
                <w:bCs/>
                <w:color w:val="FFFFFF" w:themeColor="background1"/>
                <w:lang w:val="en-GB"/>
              </w:rPr>
            </w:pPr>
            <w:r w:rsidRPr="003A0CB1">
              <w:rPr>
                <w:b/>
                <w:bCs/>
                <w:color w:val="FFFFFF" w:themeColor="background1"/>
                <w:lang w:val="en-GB"/>
              </w:rPr>
              <w:t>3</w:t>
            </w:r>
            <w:r w:rsidRPr="003A0CB1">
              <w:rPr>
                <w:rStyle w:val="Refdenotaalpie"/>
                <w:b/>
                <w:bCs/>
                <w:color w:val="FFFFFF" w:themeColor="background1"/>
                <w:lang w:val="en-GB"/>
              </w:rPr>
              <w:footnoteReference w:id="2"/>
            </w:r>
          </w:p>
        </w:tc>
        <w:tc>
          <w:tcPr>
            <w:tcW w:w="2914" w:type="dxa"/>
            <w:shd w:val="clear" w:color="auto" w:fill="auto"/>
          </w:tcPr>
          <w:p w14:paraId="1F6AFBBD" w14:textId="4BE65085" w:rsidR="00375307" w:rsidRPr="003A0CB1" w:rsidRDefault="00375307" w:rsidP="00375307">
            <w:pPr>
              <w:rPr>
                <w:rFonts w:ascii="Segoe UI" w:hAnsi="Segoe UI" w:cs="Segoe UI"/>
                <w:b/>
                <w:bCs/>
                <w:color w:val="80181F"/>
                <w:lang w:val="en-GB"/>
              </w:rPr>
            </w:pPr>
            <w:r w:rsidRPr="003A0CB1">
              <w:rPr>
                <w:rFonts w:ascii="Segoe UI" w:hAnsi="Segoe UI" w:cs="Segoe UI"/>
                <w:b/>
                <w:bCs/>
                <w:color w:val="80181F"/>
                <w:lang w:val="en-GB"/>
              </w:rPr>
              <w:t>Theoretical Consideration-Definition of EM and PSP (According to regulations)</w:t>
            </w:r>
          </w:p>
        </w:tc>
        <w:tc>
          <w:tcPr>
            <w:tcW w:w="3848" w:type="dxa"/>
          </w:tcPr>
          <w:p w14:paraId="7C4224D7" w14:textId="0BE8B975" w:rsidR="00375307" w:rsidRPr="003A0CB1" w:rsidRDefault="00B75373" w:rsidP="00D426A8">
            <w:pPr>
              <w:jc w:val="both"/>
              <w:rPr>
                <w:rFonts w:asciiTheme="majorBidi" w:hAnsiTheme="majorBidi" w:cstheme="majorBidi"/>
                <w:lang w:val="en-GB"/>
              </w:rPr>
            </w:pPr>
            <w:r w:rsidRPr="003A0CB1">
              <w:rPr>
                <w:rFonts w:asciiTheme="majorBidi" w:hAnsiTheme="majorBidi" w:cstheme="majorBidi"/>
                <w:lang w:val="en-GB"/>
              </w:rPr>
              <w:t>The electronic information system that allows for sending, receiving and processing of payment transactions and money transfer in any currency, in addition to clearing and settlement services, as well as issuing and managing payment instruments.</w:t>
            </w:r>
          </w:p>
        </w:tc>
        <w:tc>
          <w:tcPr>
            <w:tcW w:w="4363" w:type="dxa"/>
          </w:tcPr>
          <w:p w14:paraId="108C3BC0" w14:textId="77777777" w:rsidR="00375307" w:rsidRPr="003A0CB1" w:rsidRDefault="00375307" w:rsidP="00D426A8">
            <w:pPr>
              <w:jc w:val="both"/>
              <w:rPr>
                <w:rFonts w:asciiTheme="majorBidi" w:hAnsiTheme="majorBidi" w:cstheme="majorBidi"/>
                <w:lang w:val="en-GB"/>
              </w:rPr>
            </w:pPr>
          </w:p>
        </w:tc>
        <w:tc>
          <w:tcPr>
            <w:tcW w:w="2559" w:type="dxa"/>
          </w:tcPr>
          <w:p w14:paraId="6EDD0119" w14:textId="361E9DCC" w:rsidR="00375307" w:rsidRPr="003A0CB1" w:rsidRDefault="00375307" w:rsidP="00D426A8">
            <w:pPr>
              <w:jc w:val="both"/>
              <w:rPr>
                <w:rFonts w:asciiTheme="majorBidi" w:hAnsiTheme="majorBidi" w:cstheme="majorBidi"/>
                <w:lang w:val="en-GB"/>
              </w:rPr>
            </w:pPr>
          </w:p>
        </w:tc>
      </w:tr>
      <w:tr w:rsidR="00375307" w:rsidRPr="003A0CB1" w14:paraId="27A9880D" w14:textId="77777777" w:rsidTr="00D426A8">
        <w:tc>
          <w:tcPr>
            <w:tcW w:w="491" w:type="dxa"/>
            <w:shd w:val="clear" w:color="auto" w:fill="C36E73"/>
          </w:tcPr>
          <w:p w14:paraId="61510843" w14:textId="2BA8D2A6" w:rsidR="00375307" w:rsidRPr="003A0CB1" w:rsidRDefault="00375307" w:rsidP="00375307">
            <w:pPr>
              <w:jc w:val="center"/>
              <w:rPr>
                <w:rFonts w:ascii="Segoe UI" w:hAnsi="Segoe UI" w:cs="Segoe UI"/>
                <w:b/>
                <w:bCs/>
                <w:color w:val="FFFFFF" w:themeColor="background1"/>
                <w:lang w:val="en-GB"/>
              </w:rPr>
            </w:pPr>
            <w:r w:rsidRPr="003A0CB1">
              <w:rPr>
                <w:b/>
                <w:bCs/>
                <w:color w:val="FFFFFF" w:themeColor="background1"/>
                <w:lang w:val="en-GB"/>
              </w:rPr>
              <w:t>4</w:t>
            </w:r>
          </w:p>
        </w:tc>
        <w:tc>
          <w:tcPr>
            <w:tcW w:w="2914" w:type="dxa"/>
            <w:shd w:val="clear" w:color="auto" w:fill="auto"/>
          </w:tcPr>
          <w:p w14:paraId="06A5F264" w14:textId="77777777" w:rsidR="00375307" w:rsidRPr="003A0CB1" w:rsidRDefault="00375307" w:rsidP="00375307">
            <w:pPr>
              <w:rPr>
                <w:rFonts w:ascii="Segoe UI" w:hAnsi="Segoe UI" w:cs="Segoe UI"/>
                <w:b/>
                <w:bCs/>
                <w:color w:val="80181F"/>
                <w:lang w:val="en-GB"/>
              </w:rPr>
            </w:pPr>
            <w:r w:rsidRPr="003A0CB1">
              <w:rPr>
                <w:rFonts w:ascii="Segoe UI" w:hAnsi="Segoe UI" w:cs="Segoe UI"/>
                <w:b/>
                <w:bCs/>
                <w:color w:val="80181F"/>
                <w:lang w:val="en-GB"/>
              </w:rPr>
              <w:t>Scope of application of EM and PSPs legislation</w:t>
            </w:r>
          </w:p>
          <w:p w14:paraId="0D815E57" w14:textId="77777777" w:rsidR="00375307" w:rsidRPr="003A0CB1" w:rsidRDefault="00375307" w:rsidP="00375307">
            <w:pPr>
              <w:rPr>
                <w:rFonts w:ascii="Segoe UI" w:hAnsi="Segoe UI" w:cs="Segoe UI"/>
                <w:b/>
                <w:bCs/>
                <w:color w:val="80181F"/>
                <w:lang w:val="en-GB"/>
              </w:rPr>
            </w:pPr>
          </w:p>
        </w:tc>
        <w:tc>
          <w:tcPr>
            <w:tcW w:w="3848" w:type="dxa"/>
          </w:tcPr>
          <w:p w14:paraId="5BB144C0" w14:textId="77777777" w:rsidR="00B75373" w:rsidRPr="003A0CB1" w:rsidRDefault="00B75373" w:rsidP="00D426A8">
            <w:pPr>
              <w:jc w:val="both"/>
              <w:rPr>
                <w:rFonts w:asciiTheme="majorBidi" w:hAnsiTheme="majorBidi" w:cstheme="majorBidi"/>
                <w:lang w:val="en-GB"/>
              </w:rPr>
            </w:pPr>
            <w:r w:rsidRPr="003A0CB1">
              <w:rPr>
                <w:rFonts w:asciiTheme="majorBidi" w:hAnsiTheme="majorBidi" w:cstheme="majorBidi"/>
                <w:lang w:val="en-GB"/>
              </w:rPr>
              <w:t>Supranational, State, Regional, Local</w:t>
            </w:r>
          </w:p>
          <w:p w14:paraId="066497CD" w14:textId="060728B4" w:rsidR="00375307" w:rsidRPr="003A0CB1" w:rsidRDefault="00375307" w:rsidP="00D426A8">
            <w:pPr>
              <w:jc w:val="both"/>
              <w:rPr>
                <w:rFonts w:asciiTheme="majorBidi" w:hAnsiTheme="majorBidi" w:cstheme="majorBidi"/>
                <w:lang w:val="en-GB"/>
              </w:rPr>
            </w:pPr>
          </w:p>
        </w:tc>
        <w:tc>
          <w:tcPr>
            <w:tcW w:w="4363" w:type="dxa"/>
          </w:tcPr>
          <w:p w14:paraId="5C205256" w14:textId="481D1EEC" w:rsidR="00375307" w:rsidRPr="003A0CB1" w:rsidRDefault="00B75373" w:rsidP="00D426A8">
            <w:pPr>
              <w:jc w:val="both"/>
              <w:rPr>
                <w:rFonts w:asciiTheme="majorBidi" w:hAnsiTheme="majorBidi" w:cstheme="majorBidi"/>
                <w:lang w:val="en-GB"/>
              </w:rPr>
            </w:pPr>
            <w:r w:rsidRPr="003A0CB1">
              <w:rPr>
                <w:rFonts w:asciiTheme="majorBidi" w:hAnsiTheme="majorBidi" w:cstheme="majorBidi"/>
                <w:lang w:val="en-GB"/>
              </w:rPr>
              <w:t>Both (public and private)</w:t>
            </w:r>
          </w:p>
        </w:tc>
        <w:tc>
          <w:tcPr>
            <w:tcW w:w="2559" w:type="dxa"/>
          </w:tcPr>
          <w:p w14:paraId="5F03964A" w14:textId="4F9876F9" w:rsidR="00375307" w:rsidRPr="003A0CB1" w:rsidRDefault="00375307" w:rsidP="00D426A8">
            <w:pPr>
              <w:jc w:val="both"/>
              <w:rPr>
                <w:rFonts w:asciiTheme="majorBidi" w:hAnsiTheme="majorBidi" w:cstheme="majorBidi"/>
                <w:lang w:val="en-GB"/>
              </w:rPr>
            </w:pPr>
          </w:p>
        </w:tc>
      </w:tr>
      <w:tr w:rsidR="00B75373" w:rsidRPr="003A0CB1" w14:paraId="7C33A996" w14:textId="77777777" w:rsidTr="00D426A8">
        <w:tc>
          <w:tcPr>
            <w:tcW w:w="491" w:type="dxa"/>
            <w:shd w:val="clear" w:color="auto" w:fill="C36E73"/>
          </w:tcPr>
          <w:p w14:paraId="2DD5152B" w14:textId="22D2D8AB" w:rsidR="00B75373" w:rsidRPr="003A0CB1" w:rsidRDefault="00B75373" w:rsidP="00B75373">
            <w:pPr>
              <w:jc w:val="center"/>
              <w:rPr>
                <w:rFonts w:ascii="Segoe UI" w:hAnsi="Segoe UI" w:cs="Segoe UI"/>
                <w:b/>
                <w:bCs/>
                <w:color w:val="FFFFFF" w:themeColor="background1"/>
                <w:lang w:val="en-GB"/>
              </w:rPr>
            </w:pPr>
            <w:r w:rsidRPr="003A0CB1">
              <w:rPr>
                <w:b/>
                <w:bCs/>
                <w:color w:val="FFFFFF" w:themeColor="background1"/>
                <w:lang w:val="en-GB"/>
              </w:rPr>
              <w:t>5</w:t>
            </w:r>
          </w:p>
        </w:tc>
        <w:tc>
          <w:tcPr>
            <w:tcW w:w="2914" w:type="dxa"/>
            <w:shd w:val="clear" w:color="auto" w:fill="auto"/>
          </w:tcPr>
          <w:p w14:paraId="4439D1C0" w14:textId="0DCED99D" w:rsidR="00B75373" w:rsidRPr="003A0CB1" w:rsidRDefault="00B75373" w:rsidP="00B75373">
            <w:pPr>
              <w:rPr>
                <w:rFonts w:ascii="Segoe UI" w:hAnsi="Segoe UI" w:cs="Segoe UI"/>
                <w:b/>
                <w:bCs/>
                <w:color w:val="80181F"/>
                <w:lang w:val="en-GB"/>
              </w:rPr>
            </w:pPr>
            <w:r w:rsidRPr="003A0CB1">
              <w:rPr>
                <w:rFonts w:ascii="Segoe UI" w:hAnsi="Segoe UI" w:cs="Segoe UI"/>
                <w:b/>
                <w:bCs/>
                <w:color w:val="80181F"/>
                <w:lang w:val="en-GB"/>
              </w:rPr>
              <w:t>Stakeholders Involved in EM and PSPs</w:t>
            </w:r>
          </w:p>
        </w:tc>
        <w:tc>
          <w:tcPr>
            <w:tcW w:w="3848" w:type="dxa"/>
          </w:tcPr>
          <w:p w14:paraId="1E16496E" w14:textId="77777777" w:rsidR="00B75373" w:rsidRPr="003A0CB1" w:rsidRDefault="00B75373" w:rsidP="00D426A8">
            <w:pPr>
              <w:pStyle w:val="Other0"/>
              <w:numPr>
                <w:ilvl w:val="0"/>
                <w:numId w:val="7"/>
              </w:numPr>
              <w:ind w:left="449" w:hanging="284"/>
              <w:jc w:val="both"/>
              <w:rPr>
                <w:rFonts w:asciiTheme="majorBidi" w:hAnsiTheme="majorBidi" w:cstheme="majorBidi"/>
                <w:lang w:val="en-GB"/>
              </w:rPr>
            </w:pPr>
            <w:r w:rsidRPr="003A0CB1">
              <w:rPr>
                <w:rFonts w:asciiTheme="majorBidi" w:hAnsiTheme="majorBidi" w:cstheme="majorBidi"/>
                <w:lang w:val="en-GB"/>
              </w:rPr>
              <w:t>The Central Bank of Jordan shall oversee and supervise all electronic payment systems (PS) whether owned, administered, or operated by the CBJ, or by any other party.</w:t>
            </w:r>
          </w:p>
          <w:p w14:paraId="28D32ECF" w14:textId="77777777" w:rsidR="00B75373" w:rsidRPr="003A0CB1" w:rsidRDefault="00B75373" w:rsidP="00D426A8">
            <w:pPr>
              <w:pStyle w:val="Other0"/>
              <w:numPr>
                <w:ilvl w:val="0"/>
                <w:numId w:val="8"/>
              </w:numPr>
              <w:ind w:left="449" w:hanging="284"/>
              <w:jc w:val="both"/>
              <w:rPr>
                <w:rFonts w:asciiTheme="majorBidi" w:hAnsiTheme="majorBidi" w:cstheme="majorBidi"/>
                <w:lang w:val="en-GB"/>
              </w:rPr>
            </w:pPr>
            <w:r w:rsidRPr="003A0CB1">
              <w:rPr>
                <w:rFonts w:asciiTheme="majorBidi" w:hAnsiTheme="majorBidi" w:cstheme="majorBidi"/>
                <w:lang w:val="en-GB"/>
              </w:rPr>
              <w:lastRenderedPageBreak/>
              <w:t xml:space="preserve">Electronic payment systems are classified as follows: </w:t>
            </w:r>
          </w:p>
          <w:p w14:paraId="580BC7D8" w14:textId="7C4930F8" w:rsidR="00B75373" w:rsidRPr="003A0CB1" w:rsidRDefault="00B75373" w:rsidP="00D426A8">
            <w:pPr>
              <w:pStyle w:val="Other0"/>
              <w:numPr>
                <w:ilvl w:val="1"/>
                <w:numId w:val="9"/>
              </w:numPr>
              <w:jc w:val="both"/>
              <w:rPr>
                <w:rFonts w:asciiTheme="majorBidi" w:hAnsiTheme="majorBidi" w:cstheme="majorBidi"/>
                <w:lang w:val="en-GB"/>
              </w:rPr>
            </w:pPr>
            <w:r w:rsidRPr="003A0CB1">
              <w:rPr>
                <w:rFonts w:asciiTheme="majorBidi" w:hAnsiTheme="majorBidi" w:cstheme="majorBidi"/>
                <w:lang w:val="en-GB"/>
              </w:rPr>
              <w:t>Large-Value Payment Systems (LVPS): including payment systems with large-value, and systemically important payments such as (RTGS-JO).</w:t>
            </w:r>
          </w:p>
          <w:p w14:paraId="56FE7CDD" w14:textId="3E12EB83" w:rsidR="00B75373" w:rsidRPr="003A0CB1" w:rsidRDefault="00B75373" w:rsidP="00D426A8">
            <w:pPr>
              <w:pStyle w:val="Other0"/>
              <w:numPr>
                <w:ilvl w:val="1"/>
                <w:numId w:val="9"/>
              </w:numPr>
              <w:jc w:val="both"/>
              <w:rPr>
                <w:rFonts w:asciiTheme="majorBidi" w:hAnsiTheme="majorBidi" w:cstheme="majorBidi"/>
                <w:lang w:val="en-GB"/>
              </w:rPr>
            </w:pPr>
            <w:r w:rsidRPr="003A0CB1">
              <w:rPr>
                <w:rFonts w:asciiTheme="majorBidi" w:hAnsiTheme="majorBidi" w:cstheme="majorBidi"/>
                <w:lang w:val="en-GB"/>
              </w:rPr>
              <w:t xml:space="preserve">Retail Payment Systems (RPS): represent payment systems with smaller values than </w:t>
            </w:r>
            <w:proofErr w:type="spellStart"/>
            <w:r w:rsidRPr="003A0CB1">
              <w:rPr>
                <w:rFonts w:asciiTheme="majorBidi" w:hAnsiTheme="majorBidi" w:cstheme="majorBidi"/>
                <w:lang w:val="en-GB"/>
              </w:rPr>
              <w:t>largevalue</w:t>
            </w:r>
            <w:proofErr w:type="spellEnd"/>
            <w:r w:rsidRPr="003A0CB1">
              <w:rPr>
                <w:rFonts w:asciiTheme="majorBidi" w:hAnsiTheme="majorBidi" w:cstheme="majorBidi"/>
                <w:lang w:val="en-GB"/>
              </w:rPr>
              <w:t xml:space="preserve"> payments, such as: </w:t>
            </w:r>
          </w:p>
          <w:p w14:paraId="7C090A7D" w14:textId="65961038" w:rsidR="00B75373" w:rsidRPr="003A0CB1" w:rsidRDefault="00B75373" w:rsidP="00D426A8">
            <w:pPr>
              <w:pStyle w:val="Other0"/>
              <w:numPr>
                <w:ilvl w:val="1"/>
                <w:numId w:val="11"/>
              </w:numPr>
              <w:jc w:val="both"/>
              <w:rPr>
                <w:rFonts w:asciiTheme="majorBidi" w:hAnsiTheme="majorBidi" w:cstheme="majorBidi"/>
                <w:lang w:val="en-GB"/>
              </w:rPr>
            </w:pPr>
            <w:r w:rsidRPr="003A0CB1">
              <w:rPr>
                <w:rFonts w:asciiTheme="majorBidi" w:hAnsiTheme="majorBidi" w:cstheme="majorBidi"/>
                <w:lang w:val="en-GB"/>
              </w:rPr>
              <w:t xml:space="preserve">Electronic Check Clearing System (ECC). </w:t>
            </w:r>
          </w:p>
          <w:p w14:paraId="01E4664F" w14:textId="24B54873" w:rsidR="00B75373" w:rsidRPr="003A0CB1" w:rsidRDefault="00B75373" w:rsidP="00D426A8">
            <w:pPr>
              <w:pStyle w:val="Other0"/>
              <w:numPr>
                <w:ilvl w:val="1"/>
                <w:numId w:val="11"/>
              </w:numPr>
              <w:jc w:val="both"/>
              <w:rPr>
                <w:rFonts w:asciiTheme="majorBidi" w:hAnsiTheme="majorBidi" w:cstheme="majorBidi"/>
                <w:lang w:val="en-GB"/>
              </w:rPr>
            </w:pPr>
            <w:r w:rsidRPr="003A0CB1">
              <w:rPr>
                <w:rFonts w:asciiTheme="majorBidi" w:hAnsiTheme="majorBidi" w:cstheme="majorBidi"/>
                <w:lang w:val="en-GB"/>
              </w:rPr>
              <w:t>Jordan Mobile Payment System (</w:t>
            </w:r>
            <w:proofErr w:type="spellStart"/>
            <w:r w:rsidRPr="003A0CB1">
              <w:rPr>
                <w:rFonts w:asciiTheme="majorBidi" w:hAnsiTheme="majorBidi" w:cstheme="majorBidi"/>
                <w:lang w:val="en-GB"/>
              </w:rPr>
              <w:t>JoMoPay</w:t>
            </w:r>
            <w:proofErr w:type="spellEnd"/>
            <w:r w:rsidRPr="003A0CB1">
              <w:rPr>
                <w:rFonts w:asciiTheme="majorBidi" w:hAnsiTheme="majorBidi" w:cstheme="majorBidi"/>
                <w:lang w:val="en-GB"/>
              </w:rPr>
              <w:t>).</w:t>
            </w:r>
          </w:p>
          <w:p w14:paraId="323592C8" w14:textId="77777777" w:rsidR="00B75373" w:rsidRPr="003A0CB1" w:rsidRDefault="00B75373" w:rsidP="00D426A8">
            <w:pPr>
              <w:pStyle w:val="Other0"/>
              <w:numPr>
                <w:ilvl w:val="1"/>
                <w:numId w:val="11"/>
              </w:numPr>
              <w:jc w:val="both"/>
              <w:rPr>
                <w:rFonts w:asciiTheme="majorBidi" w:hAnsiTheme="majorBidi" w:cstheme="majorBidi"/>
                <w:lang w:val="en-GB"/>
              </w:rPr>
            </w:pPr>
            <w:r w:rsidRPr="003A0CB1">
              <w:rPr>
                <w:rFonts w:asciiTheme="majorBidi" w:hAnsiTheme="majorBidi" w:cstheme="majorBidi"/>
                <w:lang w:val="en-GB"/>
              </w:rPr>
              <w:t>Card payment systems.</w:t>
            </w:r>
          </w:p>
          <w:p w14:paraId="4C4CD155" w14:textId="77777777" w:rsidR="00B75373" w:rsidRPr="003A0CB1" w:rsidRDefault="00B75373" w:rsidP="00D426A8">
            <w:pPr>
              <w:pStyle w:val="Other0"/>
              <w:numPr>
                <w:ilvl w:val="1"/>
                <w:numId w:val="11"/>
              </w:numPr>
              <w:jc w:val="both"/>
              <w:rPr>
                <w:rFonts w:asciiTheme="majorBidi" w:hAnsiTheme="majorBidi" w:cstheme="majorBidi"/>
                <w:lang w:val="en-GB"/>
              </w:rPr>
            </w:pPr>
            <w:r w:rsidRPr="003A0CB1">
              <w:rPr>
                <w:rFonts w:asciiTheme="majorBidi" w:hAnsiTheme="majorBidi" w:cstheme="majorBidi"/>
                <w:lang w:val="en-GB"/>
              </w:rPr>
              <w:t>Electronic Bill Presentment and Payment System (</w:t>
            </w:r>
            <w:proofErr w:type="spellStart"/>
            <w:r w:rsidRPr="003A0CB1">
              <w:rPr>
                <w:rFonts w:asciiTheme="majorBidi" w:hAnsiTheme="majorBidi" w:cstheme="majorBidi"/>
                <w:lang w:val="en-GB"/>
              </w:rPr>
              <w:t>eFAWATEERcom</w:t>
            </w:r>
            <w:proofErr w:type="spellEnd"/>
            <w:r w:rsidRPr="003A0CB1">
              <w:rPr>
                <w:rFonts w:asciiTheme="majorBidi" w:hAnsiTheme="majorBidi" w:cstheme="majorBidi"/>
                <w:lang w:val="en-GB"/>
              </w:rPr>
              <w:t xml:space="preserve">). </w:t>
            </w:r>
          </w:p>
          <w:p w14:paraId="3A079015" w14:textId="77777777" w:rsidR="00B75373" w:rsidRPr="003A0CB1" w:rsidRDefault="00B75373" w:rsidP="00D426A8">
            <w:pPr>
              <w:pStyle w:val="Other0"/>
              <w:numPr>
                <w:ilvl w:val="1"/>
                <w:numId w:val="11"/>
              </w:numPr>
              <w:jc w:val="both"/>
              <w:rPr>
                <w:rFonts w:asciiTheme="majorBidi" w:hAnsiTheme="majorBidi" w:cstheme="majorBidi"/>
                <w:lang w:val="en-GB"/>
              </w:rPr>
            </w:pPr>
            <w:r w:rsidRPr="003A0CB1">
              <w:rPr>
                <w:rFonts w:asciiTheme="majorBidi" w:hAnsiTheme="majorBidi" w:cstheme="majorBidi"/>
                <w:lang w:val="en-GB"/>
              </w:rPr>
              <w:t>Automated Clearing House System (ACH).</w:t>
            </w:r>
          </w:p>
          <w:p w14:paraId="4F2F462D" w14:textId="70C6F726" w:rsidR="00B75373" w:rsidRPr="003A0CB1" w:rsidRDefault="00B75373" w:rsidP="00D426A8">
            <w:pPr>
              <w:pStyle w:val="Other0"/>
              <w:numPr>
                <w:ilvl w:val="1"/>
                <w:numId w:val="9"/>
              </w:numPr>
              <w:jc w:val="both"/>
              <w:rPr>
                <w:rFonts w:asciiTheme="majorBidi" w:hAnsiTheme="majorBidi" w:cstheme="majorBidi"/>
                <w:lang w:val="en-GB"/>
              </w:rPr>
            </w:pPr>
            <w:r w:rsidRPr="003A0CB1">
              <w:rPr>
                <w:rFonts w:asciiTheme="majorBidi" w:hAnsiTheme="majorBidi" w:cstheme="majorBidi"/>
                <w:lang w:val="en-GB"/>
              </w:rPr>
              <w:t>The private and public banks</w:t>
            </w:r>
          </w:p>
          <w:p w14:paraId="63A4104D" w14:textId="6DFA159A" w:rsidR="00B75373" w:rsidRPr="003A0CB1" w:rsidRDefault="00B75373" w:rsidP="00D426A8">
            <w:pPr>
              <w:pStyle w:val="Other0"/>
              <w:numPr>
                <w:ilvl w:val="1"/>
                <w:numId w:val="9"/>
              </w:numPr>
              <w:jc w:val="both"/>
              <w:rPr>
                <w:rFonts w:asciiTheme="majorBidi" w:hAnsiTheme="majorBidi" w:cstheme="majorBidi"/>
                <w:lang w:val="en-GB"/>
              </w:rPr>
            </w:pPr>
            <w:r w:rsidRPr="003A0CB1">
              <w:rPr>
                <w:rFonts w:asciiTheme="majorBidi" w:hAnsiTheme="majorBidi" w:cstheme="majorBidi"/>
                <w:lang w:val="en-GB"/>
              </w:rPr>
              <w:t>Trade and retail entities</w:t>
            </w:r>
          </w:p>
          <w:p w14:paraId="28123FA7" w14:textId="37C3E8C7" w:rsidR="00B75373" w:rsidRPr="003A0CB1" w:rsidRDefault="00B75373" w:rsidP="00D426A8">
            <w:pPr>
              <w:pStyle w:val="Other0"/>
              <w:numPr>
                <w:ilvl w:val="1"/>
                <w:numId w:val="9"/>
              </w:numPr>
              <w:jc w:val="both"/>
              <w:rPr>
                <w:rFonts w:asciiTheme="majorBidi" w:hAnsiTheme="majorBidi" w:cstheme="majorBidi"/>
                <w:lang w:val="en-GB"/>
              </w:rPr>
            </w:pPr>
            <w:r w:rsidRPr="003A0CB1">
              <w:rPr>
                <w:rFonts w:asciiTheme="majorBidi" w:hAnsiTheme="majorBidi" w:cstheme="majorBidi"/>
                <w:lang w:val="en-GB"/>
              </w:rPr>
              <w:t xml:space="preserve">Consumers </w:t>
            </w:r>
          </w:p>
          <w:p w14:paraId="5F20AFCD" w14:textId="743BA7F7" w:rsidR="00B75373" w:rsidRPr="003A0CB1" w:rsidRDefault="00B75373" w:rsidP="00D426A8">
            <w:pPr>
              <w:pStyle w:val="Other0"/>
              <w:numPr>
                <w:ilvl w:val="1"/>
                <w:numId w:val="9"/>
              </w:numPr>
              <w:jc w:val="both"/>
              <w:rPr>
                <w:rFonts w:asciiTheme="majorBidi" w:hAnsiTheme="majorBidi" w:cstheme="majorBidi"/>
                <w:lang w:val="en-GB"/>
              </w:rPr>
            </w:pPr>
            <w:r w:rsidRPr="003A0CB1">
              <w:rPr>
                <w:rFonts w:asciiTheme="majorBidi" w:hAnsiTheme="majorBidi" w:cstheme="majorBidi"/>
                <w:lang w:val="en-GB"/>
              </w:rPr>
              <w:t>CSOs (consumers protection, etc)</w:t>
            </w:r>
          </w:p>
          <w:p w14:paraId="040525EA" w14:textId="473A434B" w:rsidR="00B75373" w:rsidRPr="003A0CB1" w:rsidRDefault="00B75373" w:rsidP="00D426A8">
            <w:pPr>
              <w:pStyle w:val="Other0"/>
              <w:numPr>
                <w:ilvl w:val="1"/>
                <w:numId w:val="9"/>
              </w:numPr>
              <w:jc w:val="both"/>
              <w:rPr>
                <w:rFonts w:asciiTheme="majorBidi" w:hAnsiTheme="majorBidi" w:cstheme="majorBidi"/>
                <w:lang w:val="en-GB"/>
              </w:rPr>
            </w:pPr>
            <w:r w:rsidRPr="003A0CB1">
              <w:rPr>
                <w:rFonts w:asciiTheme="majorBidi" w:hAnsiTheme="majorBidi" w:cstheme="majorBidi"/>
                <w:lang w:val="en-GB"/>
              </w:rPr>
              <w:t>Producers (industry, agriculture, etc)</w:t>
            </w:r>
          </w:p>
          <w:p w14:paraId="548C3EB3" w14:textId="31C9D22A" w:rsidR="00B75373" w:rsidRPr="003A0CB1" w:rsidRDefault="00B75373" w:rsidP="00D426A8">
            <w:pPr>
              <w:pStyle w:val="Other0"/>
              <w:numPr>
                <w:ilvl w:val="1"/>
                <w:numId w:val="9"/>
              </w:numPr>
              <w:jc w:val="both"/>
              <w:rPr>
                <w:rFonts w:asciiTheme="majorBidi" w:hAnsiTheme="majorBidi" w:cstheme="majorBidi"/>
                <w:lang w:val="en-GB"/>
              </w:rPr>
            </w:pPr>
            <w:r w:rsidRPr="003A0CB1">
              <w:rPr>
                <w:rFonts w:asciiTheme="majorBidi" w:hAnsiTheme="majorBidi" w:cstheme="majorBidi"/>
                <w:lang w:val="en-GB"/>
              </w:rPr>
              <w:t>Service providers</w:t>
            </w:r>
          </w:p>
          <w:p w14:paraId="234E37D0" w14:textId="1CDC8C2C" w:rsidR="00B75373" w:rsidRPr="003A0CB1" w:rsidRDefault="00B75373" w:rsidP="00D426A8">
            <w:pPr>
              <w:pStyle w:val="Other0"/>
              <w:numPr>
                <w:ilvl w:val="1"/>
                <w:numId w:val="9"/>
              </w:numPr>
              <w:jc w:val="both"/>
              <w:rPr>
                <w:rFonts w:asciiTheme="majorBidi" w:hAnsiTheme="majorBidi" w:cstheme="majorBidi"/>
                <w:lang w:val="en-GB"/>
              </w:rPr>
            </w:pPr>
            <w:r w:rsidRPr="003A0CB1">
              <w:rPr>
                <w:rFonts w:asciiTheme="majorBidi" w:hAnsiTheme="majorBidi" w:cstheme="majorBidi"/>
                <w:lang w:val="en-GB"/>
              </w:rPr>
              <w:t>Cyber criminality fight institutions</w:t>
            </w:r>
          </w:p>
          <w:p w14:paraId="79307D73" w14:textId="4E7CA016" w:rsidR="00B75373" w:rsidRPr="003A0CB1" w:rsidRDefault="00B75373" w:rsidP="00D426A8">
            <w:pPr>
              <w:jc w:val="both"/>
              <w:rPr>
                <w:rFonts w:asciiTheme="majorBidi" w:hAnsiTheme="majorBidi" w:cstheme="majorBidi"/>
                <w:lang w:val="en-GB"/>
              </w:rPr>
            </w:pPr>
          </w:p>
        </w:tc>
        <w:tc>
          <w:tcPr>
            <w:tcW w:w="4363" w:type="dxa"/>
          </w:tcPr>
          <w:p w14:paraId="142A8EA5" w14:textId="77777777" w:rsidR="00B75373" w:rsidRPr="003A0CB1" w:rsidRDefault="00B75373" w:rsidP="00D426A8">
            <w:pPr>
              <w:pStyle w:val="Other0"/>
              <w:numPr>
                <w:ilvl w:val="0"/>
                <w:numId w:val="10"/>
              </w:numPr>
              <w:ind w:left="231" w:hanging="142"/>
              <w:jc w:val="both"/>
              <w:rPr>
                <w:rFonts w:asciiTheme="majorBidi" w:hAnsiTheme="majorBidi" w:cstheme="majorBidi"/>
                <w:lang w:val="en-GB"/>
              </w:rPr>
            </w:pPr>
            <w:r w:rsidRPr="003A0CB1">
              <w:rPr>
                <w:rFonts w:asciiTheme="majorBidi" w:hAnsiTheme="majorBidi" w:cstheme="majorBidi"/>
                <w:lang w:val="en-GB"/>
              </w:rPr>
              <w:lastRenderedPageBreak/>
              <w:t>Electronic service providers (web development, applications, technical support)</w:t>
            </w:r>
          </w:p>
          <w:p w14:paraId="3FAEF94D" w14:textId="77777777" w:rsidR="00B75373" w:rsidRPr="003A0CB1" w:rsidRDefault="00B75373" w:rsidP="00D426A8">
            <w:pPr>
              <w:pStyle w:val="Other0"/>
              <w:numPr>
                <w:ilvl w:val="0"/>
                <w:numId w:val="10"/>
              </w:numPr>
              <w:ind w:left="231" w:hanging="142"/>
              <w:jc w:val="both"/>
              <w:rPr>
                <w:rFonts w:asciiTheme="majorBidi" w:hAnsiTheme="majorBidi" w:cstheme="majorBidi"/>
                <w:lang w:val="en-GB"/>
              </w:rPr>
            </w:pPr>
            <w:r w:rsidRPr="003A0CB1">
              <w:rPr>
                <w:rFonts w:asciiTheme="majorBidi" w:hAnsiTheme="majorBidi" w:cstheme="majorBidi"/>
                <w:lang w:val="en-GB"/>
              </w:rPr>
              <w:t>Internet providers</w:t>
            </w:r>
          </w:p>
          <w:p w14:paraId="369EE301" w14:textId="77777777" w:rsidR="00B75373" w:rsidRPr="003A0CB1" w:rsidRDefault="00B75373" w:rsidP="00D426A8">
            <w:pPr>
              <w:pStyle w:val="Other0"/>
              <w:numPr>
                <w:ilvl w:val="0"/>
                <w:numId w:val="10"/>
              </w:numPr>
              <w:ind w:left="231" w:hanging="142"/>
              <w:jc w:val="both"/>
              <w:rPr>
                <w:rFonts w:asciiTheme="majorBidi" w:hAnsiTheme="majorBidi" w:cstheme="majorBidi"/>
                <w:lang w:val="en-GB"/>
              </w:rPr>
            </w:pPr>
            <w:r w:rsidRPr="003A0CB1">
              <w:rPr>
                <w:rFonts w:asciiTheme="majorBidi" w:hAnsiTheme="majorBidi" w:cstheme="majorBidi"/>
                <w:lang w:val="en-GB"/>
              </w:rPr>
              <w:t>Cyber security providers</w:t>
            </w:r>
          </w:p>
          <w:p w14:paraId="087763A6" w14:textId="77777777" w:rsidR="00B75373" w:rsidRPr="003A0CB1" w:rsidRDefault="00B75373" w:rsidP="00D426A8">
            <w:pPr>
              <w:pStyle w:val="Other0"/>
              <w:numPr>
                <w:ilvl w:val="0"/>
                <w:numId w:val="10"/>
              </w:numPr>
              <w:ind w:left="231" w:hanging="142"/>
              <w:jc w:val="both"/>
              <w:rPr>
                <w:rFonts w:asciiTheme="majorBidi" w:hAnsiTheme="majorBidi" w:cstheme="majorBidi"/>
                <w:lang w:val="en-GB"/>
              </w:rPr>
            </w:pPr>
            <w:r w:rsidRPr="003A0CB1">
              <w:rPr>
                <w:rFonts w:asciiTheme="majorBidi" w:hAnsiTheme="majorBidi" w:cstheme="majorBidi"/>
                <w:lang w:val="en-GB"/>
              </w:rPr>
              <w:t>Cyber security national institutions</w:t>
            </w:r>
          </w:p>
          <w:p w14:paraId="67369950" w14:textId="77777777" w:rsidR="00B75373" w:rsidRPr="003A0CB1" w:rsidRDefault="00B75373" w:rsidP="00D426A8">
            <w:pPr>
              <w:pStyle w:val="Other0"/>
              <w:numPr>
                <w:ilvl w:val="0"/>
                <w:numId w:val="10"/>
              </w:numPr>
              <w:ind w:left="231" w:hanging="142"/>
              <w:jc w:val="both"/>
              <w:rPr>
                <w:rFonts w:asciiTheme="majorBidi" w:hAnsiTheme="majorBidi" w:cstheme="majorBidi"/>
                <w:lang w:val="en-GB"/>
              </w:rPr>
            </w:pPr>
            <w:r w:rsidRPr="003A0CB1">
              <w:rPr>
                <w:rFonts w:asciiTheme="majorBidi" w:hAnsiTheme="majorBidi" w:cstheme="majorBidi"/>
                <w:lang w:val="en-GB"/>
              </w:rPr>
              <w:lastRenderedPageBreak/>
              <w:t>Web graphists</w:t>
            </w:r>
          </w:p>
          <w:p w14:paraId="5449A8A6" w14:textId="5B6D88EB" w:rsidR="00B75373" w:rsidRPr="003A0CB1" w:rsidRDefault="00B75373" w:rsidP="00D426A8">
            <w:pPr>
              <w:jc w:val="both"/>
              <w:rPr>
                <w:rFonts w:asciiTheme="majorBidi" w:hAnsiTheme="majorBidi" w:cstheme="majorBidi"/>
                <w:lang w:val="en-GB"/>
              </w:rPr>
            </w:pPr>
          </w:p>
        </w:tc>
        <w:tc>
          <w:tcPr>
            <w:tcW w:w="2559" w:type="dxa"/>
          </w:tcPr>
          <w:p w14:paraId="28D7DC85" w14:textId="77777777" w:rsidR="00B75373" w:rsidRPr="003A0CB1" w:rsidRDefault="00B75373" w:rsidP="00D426A8">
            <w:pPr>
              <w:jc w:val="both"/>
              <w:rPr>
                <w:rFonts w:asciiTheme="majorBidi" w:hAnsiTheme="majorBidi" w:cstheme="majorBidi"/>
                <w:lang w:val="en-GB"/>
              </w:rPr>
            </w:pPr>
          </w:p>
        </w:tc>
      </w:tr>
      <w:tr w:rsidR="00807C3E" w:rsidRPr="003A0CB1" w14:paraId="043B21E5" w14:textId="77777777" w:rsidTr="00D426A8">
        <w:tc>
          <w:tcPr>
            <w:tcW w:w="491" w:type="dxa"/>
            <w:shd w:val="clear" w:color="auto" w:fill="C36E73"/>
          </w:tcPr>
          <w:p w14:paraId="64FDE670" w14:textId="25169713" w:rsidR="00807C3E" w:rsidRPr="003A0CB1" w:rsidRDefault="00807C3E" w:rsidP="00807C3E">
            <w:pPr>
              <w:jc w:val="center"/>
              <w:rPr>
                <w:rFonts w:ascii="Segoe UI" w:hAnsi="Segoe UI" w:cs="Segoe UI"/>
                <w:b/>
                <w:bCs/>
                <w:color w:val="FFFFFF" w:themeColor="background1"/>
                <w:lang w:val="en-GB"/>
              </w:rPr>
            </w:pPr>
            <w:r w:rsidRPr="003A0CB1">
              <w:rPr>
                <w:b/>
                <w:bCs/>
                <w:color w:val="FFFFFF" w:themeColor="background1"/>
                <w:lang w:val="en-GB"/>
              </w:rPr>
              <w:t>6</w:t>
            </w:r>
          </w:p>
        </w:tc>
        <w:tc>
          <w:tcPr>
            <w:tcW w:w="2914" w:type="dxa"/>
            <w:shd w:val="clear" w:color="auto" w:fill="auto"/>
          </w:tcPr>
          <w:p w14:paraId="7B7E35C5" w14:textId="33EEC3D8" w:rsidR="00807C3E" w:rsidRPr="003A0CB1" w:rsidRDefault="00807C3E" w:rsidP="00807C3E">
            <w:pPr>
              <w:rPr>
                <w:rFonts w:ascii="Segoe UI" w:hAnsi="Segoe UI" w:cs="Segoe UI"/>
                <w:b/>
                <w:bCs/>
                <w:color w:val="80181F"/>
                <w:lang w:val="en-GB"/>
              </w:rPr>
            </w:pPr>
            <w:r w:rsidRPr="003A0CB1">
              <w:rPr>
                <w:rFonts w:ascii="Segoe UI" w:hAnsi="Segoe UI" w:cs="Segoe UI"/>
                <w:b/>
                <w:bCs/>
                <w:color w:val="80181F"/>
                <w:lang w:val="en-GB"/>
              </w:rPr>
              <w:t>Administration - competent legislative body EM and PSPs</w:t>
            </w:r>
          </w:p>
        </w:tc>
        <w:tc>
          <w:tcPr>
            <w:tcW w:w="3848" w:type="dxa"/>
          </w:tcPr>
          <w:p w14:paraId="33E1B3AA" w14:textId="4E50598E" w:rsidR="00807C3E" w:rsidRPr="003A0CB1" w:rsidRDefault="00807C3E" w:rsidP="00D426A8">
            <w:pPr>
              <w:jc w:val="both"/>
              <w:rPr>
                <w:rFonts w:asciiTheme="majorBidi" w:hAnsiTheme="majorBidi" w:cstheme="majorBidi"/>
                <w:lang w:val="en-GB"/>
              </w:rPr>
            </w:pPr>
            <w:r w:rsidRPr="003A0CB1">
              <w:rPr>
                <w:rFonts w:asciiTheme="majorBidi" w:hAnsiTheme="majorBidi" w:cstheme="majorBidi"/>
                <w:lang w:val="en-GB"/>
              </w:rPr>
              <w:t>Central Bank of Jordan CBJ</w:t>
            </w:r>
          </w:p>
        </w:tc>
        <w:tc>
          <w:tcPr>
            <w:tcW w:w="4363" w:type="dxa"/>
          </w:tcPr>
          <w:p w14:paraId="74B64637" w14:textId="77D0272F" w:rsidR="00807C3E" w:rsidRPr="003A0CB1" w:rsidRDefault="00807C3E" w:rsidP="00D426A8">
            <w:pPr>
              <w:jc w:val="both"/>
              <w:rPr>
                <w:rFonts w:asciiTheme="majorBidi" w:hAnsiTheme="majorBidi" w:cstheme="majorBidi"/>
                <w:color w:val="FF0000"/>
                <w:lang w:val="en-GB"/>
              </w:rPr>
            </w:pPr>
            <w:r w:rsidRPr="003A0CB1">
              <w:rPr>
                <w:rFonts w:asciiTheme="majorBidi" w:hAnsiTheme="majorBidi" w:cstheme="majorBidi"/>
                <w:lang w:val="en-GB"/>
              </w:rPr>
              <w:t>Central Government.</w:t>
            </w:r>
          </w:p>
        </w:tc>
        <w:tc>
          <w:tcPr>
            <w:tcW w:w="2559" w:type="dxa"/>
          </w:tcPr>
          <w:p w14:paraId="0FB0946F" w14:textId="77777777" w:rsidR="00807C3E" w:rsidRPr="003A0CB1" w:rsidRDefault="00807C3E" w:rsidP="00D426A8">
            <w:pPr>
              <w:jc w:val="both"/>
              <w:rPr>
                <w:rFonts w:asciiTheme="majorBidi" w:hAnsiTheme="majorBidi" w:cstheme="majorBidi"/>
                <w:lang w:val="en-GB"/>
              </w:rPr>
            </w:pPr>
          </w:p>
        </w:tc>
      </w:tr>
      <w:tr w:rsidR="00807C3E" w:rsidRPr="005B6D1F" w14:paraId="4E1D7E39" w14:textId="77777777" w:rsidTr="00D426A8">
        <w:tc>
          <w:tcPr>
            <w:tcW w:w="491" w:type="dxa"/>
            <w:shd w:val="clear" w:color="auto" w:fill="C36E73"/>
          </w:tcPr>
          <w:p w14:paraId="6B90112D" w14:textId="3B6CEBF2" w:rsidR="00807C3E" w:rsidRPr="003A0CB1" w:rsidRDefault="00807C3E" w:rsidP="00807C3E">
            <w:pPr>
              <w:jc w:val="center"/>
              <w:rPr>
                <w:rFonts w:ascii="Segoe UI" w:hAnsi="Segoe UI" w:cs="Segoe UI"/>
                <w:b/>
                <w:bCs/>
                <w:color w:val="FFFFFF" w:themeColor="background1"/>
                <w:lang w:val="en-GB"/>
              </w:rPr>
            </w:pPr>
            <w:r w:rsidRPr="003A0CB1">
              <w:rPr>
                <w:b/>
                <w:bCs/>
                <w:color w:val="FFFFFF" w:themeColor="background1"/>
                <w:lang w:val="en-GB"/>
              </w:rPr>
              <w:lastRenderedPageBreak/>
              <w:t>7</w:t>
            </w:r>
          </w:p>
        </w:tc>
        <w:tc>
          <w:tcPr>
            <w:tcW w:w="2914" w:type="dxa"/>
            <w:shd w:val="clear" w:color="auto" w:fill="auto"/>
          </w:tcPr>
          <w:p w14:paraId="10EFD407" w14:textId="2D75483C" w:rsidR="00807C3E" w:rsidRPr="003A0CB1" w:rsidRDefault="00807C3E" w:rsidP="00807C3E">
            <w:pPr>
              <w:rPr>
                <w:rFonts w:ascii="Segoe UI" w:hAnsi="Segoe UI" w:cs="Segoe UI"/>
                <w:b/>
                <w:bCs/>
                <w:color w:val="80181F"/>
                <w:lang w:val="en-GB"/>
              </w:rPr>
            </w:pPr>
            <w:r w:rsidRPr="003A0CB1">
              <w:rPr>
                <w:rFonts w:ascii="Segoe UI" w:hAnsi="Segoe UI" w:cs="Segoe UI"/>
                <w:b/>
                <w:bCs/>
                <w:color w:val="80181F"/>
                <w:lang w:val="en-GB"/>
              </w:rPr>
              <w:t>Administration - competent executive body EM and PSPs</w:t>
            </w:r>
          </w:p>
        </w:tc>
        <w:tc>
          <w:tcPr>
            <w:tcW w:w="3848" w:type="dxa"/>
          </w:tcPr>
          <w:p w14:paraId="5BA5BA94" w14:textId="46CB490A" w:rsidR="00807C3E" w:rsidRPr="003A0CB1" w:rsidRDefault="00807C3E" w:rsidP="00D426A8">
            <w:pPr>
              <w:jc w:val="both"/>
              <w:rPr>
                <w:rFonts w:asciiTheme="majorBidi" w:hAnsiTheme="majorBidi" w:cstheme="majorBidi"/>
                <w:lang w:val="en-GB"/>
              </w:rPr>
            </w:pPr>
            <w:r w:rsidRPr="003A0CB1">
              <w:rPr>
                <w:rFonts w:asciiTheme="majorBidi" w:hAnsiTheme="majorBidi" w:cstheme="majorBidi"/>
                <w:lang w:val="en-GB"/>
              </w:rPr>
              <w:t>Central Bank of Jordan CBJ</w:t>
            </w:r>
          </w:p>
        </w:tc>
        <w:tc>
          <w:tcPr>
            <w:tcW w:w="4363" w:type="dxa"/>
          </w:tcPr>
          <w:p w14:paraId="7FF395C8" w14:textId="0F27563E" w:rsidR="00807C3E" w:rsidRPr="003A0CB1" w:rsidRDefault="00807C3E" w:rsidP="00D426A8">
            <w:pPr>
              <w:jc w:val="both"/>
              <w:rPr>
                <w:rFonts w:asciiTheme="majorBidi" w:hAnsiTheme="majorBidi" w:cstheme="majorBidi"/>
                <w:lang w:val="en-GB"/>
              </w:rPr>
            </w:pPr>
            <w:r w:rsidRPr="003A0CB1">
              <w:rPr>
                <w:rFonts w:asciiTheme="majorBidi" w:hAnsiTheme="majorBidi" w:cstheme="majorBidi"/>
                <w:color w:val="202124"/>
                <w:shd w:val="clear" w:color="auto" w:fill="FFFFFF"/>
                <w:lang w:val="en-GB"/>
              </w:rPr>
              <w:t>The law establishing the CBJ stipulates, "the objectives of the Central Bank shall be </w:t>
            </w:r>
            <w:r w:rsidRPr="003A0CB1">
              <w:rPr>
                <w:rFonts w:asciiTheme="majorBidi" w:hAnsiTheme="majorBidi" w:cstheme="majorBidi"/>
                <w:b/>
                <w:bCs/>
                <w:color w:val="202124"/>
                <w:shd w:val="clear" w:color="auto" w:fill="FFFFFF"/>
                <w:lang w:val="en-GB"/>
              </w:rPr>
              <w:t>to maintain monetary stability in the Kingdom</w:t>
            </w:r>
            <w:r w:rsidRPr="003A0CB1">
              <w:rPr>
                <w:rFonts w:asciiTheme="majorBidi" w:hAnsiTheme="majorBidi" w:cstheme="majorBidi"/>
                <w:color w:val="202124"/>
                <w:shd w:val="clear" w:color="auto" w:fill="FFFFFF"/>
                <w:lang w:val="en-GB"/>
              </w:rPr>
              <w:t>, to ensure the convertibility of the Jordanian Dinar, and to promote the sustained growth of the Kingdom's economy in accordance with the general economic policy of the government."</w:t>
            </w:r>
          </w:p>
        </w:tc>
        <w:tc>
          <w:tcPr>
            <w:tcW w:w="2559" w:type="dxa"/>
          </w:tcPr>
          <w:p w14:paraId="3EC60794" w14:textId="77777777" w:rsidR="00807C3E" w:rsidRPr="003A0CB1" w:rsidRDefault="00807C3E" w:rsidP="00D426A8">
            <w:pPr>
              <w:jc w:val="both"/>
              <w:rPr>
                <w:rFonts w:asciiTheme="majorBidi" w:hAnsiTheme="majorBidi" w:cstheme="majorBidi"/>
                <w:lang w:val="en-GB"/>
              </w:rPr>
            </w:pPr>
          </w:p>
        </w:tc>
      </w:tr>
      <w:tr w:rsidR="00807C3E" w:rsidRPr="003A0CB1" w14:paraId="5C8876C4" w14:textId="77777777" w:rsidTr="00D426A8">
        <w:tc>
          <w:tcPr>
            <w:tcW w:w="491" w:type="dxa"/>
            <w:shd w:val="clear" w:color="auto" w:fill="C36E73"/>
          </w:tcPr>
          <w:p w14:paraId="5C803928" w14:textId="042A1352" w:rsidR="00807C3E" w:rsidRPr="003A0CB1" w:rsidRDefault="00807C3E" w:rsidP="00807C3E">
            <w:pPr>
              <w:jc w:val="center"/>
              <w:rPr>
                <w:rFonts w:ascii="Segoe UI" w:hAnsi="Segoe UI" w:cs="Segoe UI"/>
                <w:b/>
                <w:bCs/>
                <w:color w:val="FFFFFF" w:themeColor="background1"/>
                <w:lang w:val="en-GB"/>
              </w:rPr>
            </w:pPr>
            <w:r w:rsidRPr="003A0CB1">
              <w:rPr>
                <w:b/>
                <w:bCs/>
                <w:color w:val="FFFFFF" w:themeColor="background1"/>
                <w:lang w:val="en-GB"/>
              </w:rPr>
              <w:t>8</w:t>
            </w:r>
          </w:p>
        </w:tc>
        <w:tc>
          <w:tcPr>
            <w:tcW w:w="2914" w:type="dxa"/>
            <w:shd w:val="clear" w:color="auto" w:fill="auto"/>
          </w:tcPr>
          <w:p w14:paraId="5D33D760" w14:textId="77777777" w:rsidR="00807C3E" w:rsidRPr="003A0CB1" w:rsidRDefault="00807C3E" w:rsidP="00807C3E">
            <w:pPr>
              <w:rPr>
                <w:rFonts w:ascii="Segoe UI" w:hAnsi="Segoe UI" w:cs="Segoe UI"/>
                <w:b/>
                <w:bCs/>
                <w:color w:val="80181F"/>
                <w:lang w:val="en-GB"/>
              </w:rPr>
            </w:pPr>
            <w:r w:rsidRPr="003A0CB1">
              <w:rPr>
                <w:rFonts w:ascii="Segoe UI" w:hAnsi="Segoe UI" w:cs="Segoe UI"/>
                <w:b/>
                <w:bCs/>
                <w:color w:val="80181F"/>
                <w:lang w:val="en-GB"/>
              </w:rPr>
              <w:t>Measures promoting or encouraging EM and PSPs</w:t>
            </w:r>
          </w:p>
          <w:p w14:paraId="0FF5F97A" w14:textId="77777777" w:rsidR="00807C3E" w:rsidRPr="003A0CB1" w:rsidRDefault="00807C3E" w:rsidP="00807C3E">
            <w:pPr>
              <w:rPr>
                <w:rFonts w:ascii="Segoe UI" w:hAnsi="Segoe UI" w:cs="Segoe UI"/>
                <w:b/>
                <w:bCs/>
                <w:color w:val="80181F"/>
                <w:lang w:val="en-GB"/>
              </w:rPr>
            </w:pPr>
          </w:p>
        </w:tc>
        <w:tc>
          <w:tcPr>
            <w:tcW w:w="3848" w:type="dxa"/>
          </w:tcPr>
          <w:p w14:paraId="6A7087DF" w14:textId="39D605D5" w:rsidR="00807C3E" w:rsidRPr="003A0CB1" w:rsidRDefault="00807C3E" w:rsidP="00D426A8">
            <w:pPr>
              <w:jc w:val="both"/>
              <w:rPr>
                <w:rFonts w:asciiTheme="majorBidi" w:hAnsiTheme="majorBidi" w:cstheme="majorBidi"/>
                <w:lang w:val="en-GB"/>
              </w:rPr>
            </w:pPr>
            <w:r w:rsidRPr="003A0CB1">
              <w:rPr>
                <w:rFonts w:asciiTheme="majorBidi" w:hAnsiTheme="majorBidi" w:cstheme="majorBidi"/>
                <w:lang w:val="en-GB"/>
              </w:rPr>
              <w:t>Yes</w:t>
            </w:r>
          </w:p>
        </w:tc>
        <w:tc>
          <w:tcPr>
            <w:tcW w:w="4363" w:type="dxa"/>
          </w:tcPr>
          <w:p w14:paraId="7A196BF2" w14:textId="20D21430" w:rsidR="00807C3E" w:rsidRPr="003A0CB1" w:rsidRDefault="00807C3E" w:rsidP="00D426A8">
            <w:pPr>
              <w:jc w:val="both"/>
              <w:rPr>
                <w:rFonts w:asciiTheme="majorBidi" w:hAnsiTheme="majorBidi" w:cstheme="majorBidi"/>
                <w:lang w:val="en-GB"/>
              </w:rPr>
            </w:pPr>
            <w:r w:rsidRPr="003A0CB1">
              <w:rPr>
                <w:rFonts w:asciiTheme="majorBidi" w:hAnsiTheme="majorBidi" w:cstheme="majorBidi"/>
                <w:lang w:val="en-GB"/>
              </w:rPr>
              <w:t>Bank of Jordan issued a guideline to assist any entity wishing to engage in any of the activities of electronic payment and money transfer services specified in the electronic payment and money transfer bylaw No. (111) for the year 2017 issued pursuant to the provisions of the electronic transactions law No. (15) of the year 2015.</w:t>
            </w:r>
          </w:p>
        </w:tc>
        <w:tc>
          <w:tcPr>
            <w:tcW w:w="2559" w:type="dxa"/>
          </w:tcPr>
          <w:p w14:paraId="078B440E" w14:textId="30B2B854" w:rsidR="00807C3E" w:rsidRPr="003A0CB1" w:rsidRDefault="00807C3E" w:rsidP="00D426A8">
            <w:pPr>
              <w:jc w:val="both"/>
              <w:rPr>
                <w:rFonts w:asciiTheme="majorBidi" w:hAnsiTheme="majorBidi" w:cstheme="majorBidi"/>
                <w:lang w:val="en-GB"/>
              </w:rPr>
            </w:pPr>
            <w:r w:rsidRPr="003A0CB1">
              <w:rPr>
                <w:rFonts w:asciiTheme="majorBidi" w:hAnsiTheme="majorBidi" w:cstheme="majorBidi"/>
                <w:lang w:val="en-GB"/>
              </w:rPr>
              <w:t>N.A.</w:t>
            </w:r>
          </w:p>
          <w:p w14:paraId="42734E1D" w14:textId="77777777" w:rsidR="00807C3E" w:rsidRPr="003A0CB1" w:rsidRDefault="00807C3E" w:rsidP="00D426A8">
            <w:pPr>
              <w:jc w:val="both"/>
              <w:rPr>
                <w:rFonts w:asciiTheme="majorBidi" w:hAnsiTheme="majorBidi" w:cstheme="majorBidi"/>
                <w:lang w:val="en-GB"/>
              </w:rPr>
            </w:pPr>
          </w:p>
        </w:tc>
      </w:tr>
      <w:tr w:rsidR="00807C3E" w:rsidRPr="005B6D1F" w14:paraId="086295BB" w14:textId="77777777" w:rsidTr="00D426A8">
        <w:tc>
          <w:tcPr>
            <w:tcW w:w="491" w:type="dxa"/>
            <w:shd w:val="clear" w:color="auto" w:fill="C36E73"/>
          </w:tcPr>
          <w:p w14:paraId="7A411AEF" w14:textId="1A1AB436" w:rsidR="00807C3E" w:rsidRPr="003A0CB1" w:rsidRDefault="00807C3E" w:rsidP="00807C3E">
            <w:pPr>
              <w:jc w:val="center"/>
              <w:rPr>
                <w:rFonts w:ascii="Segoe UI" w:hAnsi="Segoe UI" w:cs="Segoe UI"/>
                <w:b/>
                <w:bCs/>
                <w:color w:val="FFFFFF" w:themeColor="background1"/>
                <w:lang w:val="en-GB"/>
              </w:rPr>
            </w:pPr>
            <w:r w:rsidRPr="003A0CB1">
              <w:rPr>
                <w:b/>
                <w:bCs/>
                <w:color w:val="FFFFFF" w:themeColor="background1"/>
                <w:lang w:val="en-GB"/>
              </w:rPr>
              <w:t>9</w:t>
            </w:r>
          </w:p>
        </w:tc>
        <w:tc>
          <w:tcPr>
            <w:tcW w:w="2914" w:type="dxa"/>
            <w:shd w:val="clear" w:color="auto" w:fill="auto"/>
          </w:tcPr>
          <w:p w14:paraId="2EB34BF2" w14:textId="0E3BC81D" w:rsidR="00807C3E" w:rsidRPr="003A0CB1" w:rsidRDefault="00807C3E" w:rsidP="00807C3E">
            <w:pPr>
              <w:rPr>
                <w:rFonts w:ascii="Segoe UI" w:hAnsi="Segoe UI" w:cs="Segoe UI"/>
                <w:b/>
                <w:bCs/>
                <w:color w:val="80181F"/>
                <w:lang w:val="en-GB"/>
              </w:rPr>
            </w:pPr>
            <w:r w:rsidRPr="003A0CB1">
              <w:rPr>
                <w:rFonts w:ascii="Segoe UI" w:hAnsi="Segoe UI" w:cs="Segoe UI"/>
                <w:b/>
                <w:bCs/>
                <w:color w:val="80181F"/>
                <w:lang w:val="en-GB"/>
              </w:rPr>
              <w:t>Other EM and PSP related legislation</w:t>
            </w:r>
          </w:p>
        </w:tc>
        <w:tc>
          <w:tcPr>
            <w:tcW w:w="3848" w:type="dxa"/>
          </w:tcPr>
          <w:p w14:paraId="2F7545FA" w14:textId="34269588" w:rsidR="00807C3E" w:rsidRPr="003A0CB1" w:rsidRDefault="00807C3E" w:rsidP="00D426A8">
            <w:pPr>
              <w:jc w:val="both"/>
              <w:rPr>
                <w:rFonts w:asciiTheme="majorBidi" w:hAnsiTheme="majorBidi" w:cstheme="majorBidi"/>
                <w:lang w:val="en-GB"/>
              </w:rPr>
            </w:pPr>
            <w:r w:rsidRPr="003A0CB1">
              <w:rPr>
                <w:rFonts w:asciiTheme="majorBidi" w:hAnsiTheme="majorBidi" w:cstheme="majorBidi"/>
                <w:lang w:val="en-GB"/>
              </w:rPr>
              <w:t>The CBJ shall assess the compliance of entities involved in any electronic payment and money transfer services activities with the standards and requirements of performing such activities: through ongoing supervision, requiring information of these entities, analysing these financial data related to all NPS components in order to ensure the soundness of their financial positions , monitor phenomena or trends which may request issuing recommendations or updating the related instructions, in addit</w:t>
            </w:r>
            <w:r w:rsidR="00516016" w:rsidRPr="003A0CB1">
              <w:rPr>
                <w:rFonts w:asciiTheme="majorBidi" w:hAnsiTheme="majorBidi" w:cstheme="majorBidi"/>
                <w:lang w:val="en-GB"/>
              </w:rPr>
              <w:t>ion to prepare periodic reports</w:t>
            </w:r>
          </w:p>
        </w:tc>
        <w:tc>
          <w:tcPr>
            <w:tcW w:w="4363" w:type="dxa"/>
          </w:tcPr>
          <w:p w14:paraId="410A511A" w14:textId="076A077A" w:rsidR="00807C3E" w:rsidRPr="003A0CB1" w:rsidRDefault="00807C3E" w:rsidP="00D426A8">
            <w:pPr>
              <w:jc w:val="both"/>
              <w:rPr>
                <w:rFonts w:asciiTheme="majorBidi" w:hAnsiTheme="majorBidi" w:cstheme="majorBidi"/>
                <w:lang w:val="en-GB"/>
              </w:rPr>
            </w:pPr>
            <w:r w:rsidRPr="003A0CB1">
              <w:rPr>
                <w:rFonts w:asciiTheme="majorBidi" w:hAnsiTheme="majorBidi" w:cstheme="majorBidi"/>
                <w:lang w:val="en-GB"/>
              </w:rPr>
              <w:t>Relationship-Influence with ESS is not available</w:t>
            </w:r>
          </w:p>
        </w:tc>
        <w:tc>
          <w:tcPr>
            <w:tcW w:w="2559" w:type="dxa"/>
          </w:tcPr>
          <w:p w14:paraId="43D61EA6" w14:textId="77777777" w:rsidR="00807C3E" w:rsidRPr="003A0CB1" w:rsidRDefault="00807C3E" w:rsidP="00D426A8">
            <w:pPr>
              <w:jc w:val="both"/>
              <w:rPr>
                <w:rFonts w:asciiTheme="majorBidi" w:hAnsiTheme="majorBidi" w:cstheme="majorBidi"/>
                <w:lang w:val="en-GB"/>
              </w:rPr>
            </w:pPr>
          </w:p>
        </w:tc>
      </w:tr>
      <w:tr w:rsidR="00807C3E" w:rsidRPr="005B6D1F" w14:paraId="376FD748" w14:textId="77777777" w:rsidTr="00D426A8">
        <w:tc>
          <w:tcPr>
            <w:tcW w:w="491" w:type="dxa"/>
            <w:shd w:val="clear" w:color="auto" w:fill="C36E73"/>
          </w:tcPr>
          <w:p w14:paraId="4916EF17" w14:textId="237D2896" w:rsidR="00807C3E" w:rsidRPr="003A0CB1" w:rsidRDefault="00807C3E" w:rsidP="00807C3E">
            <w:pPr>
              <w:jc w:val="center"/>
              <w:rPr>
                <w:rFonts w:ascii="Segoe UI" w:hAnsi="Segoe UI" w:cs="Segoe UI"/>
                <w:b/>
                <w:bCs/>
                <w:color w:val="FFFFFF" w:themeColor="background1"/>
                <w:lang w:val="en-GB"/>
              </w:rPr>
            </w:pPr>
            <w:r w:rsidRPr="003A0CB1">
              <w:rPr>
                <w:b/>
                <w:bCs/>
                <w:color w:val="FFFFFF" w:themeColor="background1"/>
                <w:lang w:val="en-GB"/>
              </w:rPr>
              <w:t>10</w:t>
            </w:r>
          </w:p>
        </w:tc>
        <w:tc>
          <w:tcPr>
            <w:tcW w:w="2914" w:type="dxa"/>
            <w:shd w:val="clear" w:color="auto" w:fill="auto"/>
          </w:tcPr>
          <w:p w14:paraId="138AC76E" w14:textId="77777777" w:rsidR="00807C3E" w:rsidRPr="003A0CB1" w:rsidRDefault="00807C3E" w:rsidP="00807C3E">
            <w:pPr>
              <w:rPr>
                <w:rFonts w:ascii="Segoe UI" w:hAnsi="Segoe UI" w:cs="Segoe UI"/>
                <w:b/>
                <w:bCs/>
                <w:color w:val="80181F"/>
                <w:lang w:val="en-GB"/>
              </w:rPr>
            </w:pPr>
            <w:r w:rsidRPr="003A0CB1">
              <w:rPr>
                <w:rFonts w:ascii="Segoe UI" w:hAnsi="Segoe UI" w:cs="Segoe UI"/>
                <w:b/>
                <w:bCs/>
                <w:color w:val="80181F"/>
                <w:lang w:val="en-GB"/>
              </w:rPr>
              <w:t>Possibility of creating new EM and PSP legislation</w:t>
            </w:r>
          </w:p>
          <w:p w14:paraId="7D46B823" w14:textId="77777777" w:rsidR="00807C3E" w:rsidRPr="003A0CB1" w:rsidRDefault="00807C3E" w:rsidP="00807C3E">
            <w:pPr>
              <w:rPr>
                <w:rFonts w:ascii="Segoe UI" w:hAnsi="Segoe UI" w:cs="Segoe UI"/>
                <w:b/>
                <w:bCs/>
                <w:color w:val="80181F"/>
                <w:lang w:val="en-GB"/>
              </w:rPr>
            </w:pPr>
          </w:p>
        </w:tc>
        <w:tc>
          <w:tcPr>
            <w:tcW w:w="3848" w:type="dxa"/>
          </w:tcPr>
          <w:p w14:paraId="1D12FF9E" w14:textId="2288F810" w:rsidR="00807C3E" w:rsidRPr="003A0CB1" w:rsidRDefault="00807C3E" w:rsidP="00D426A8">
            <w:pPr>
              <w:jc w:val="both"/>
              <w:rPr>
                <w:rFonts w:asciiTheme="majorBidi" w:hAnsiTheme="majorBidi" w:cstheme="majorBidi"/>
                <w:lang w:val="en-GB"/>
              </w:rPr>
            </w:pPr>
            <w:r w:rsidRPr="003A0CB1">
              <w:rPr>
                <w:rFonts w:asciiTheme="majorBidi" w:hAnsiTheme="majorBidi" w:cstheme="majorBidi"/>
                <w:lang w:val="en-GB"/>
              </w:rPr>
              <w:lastRenderedPageBreak/>
              <w:t xml:space="preserve">Bank of Jordan issued a guideline to assist any entity wishing to engage in any of the activities of electronic payment and money </w:t>
            </w:r>
            <w:r w:rsidRPr="003A0CB1">
              <w:rPr>
                <w:rFonts w:asciiTheme="majorBidi" w:hAnsiTheme="majorBidi" w:cstheme="majorBidi"/>
                <w:lang w:val="en-GB"/>
              </w:rPr>
              <w:lastRenderedPageBreak/>
              <w:t>transfer services specified in the electronic payment and money transfer bylaw No. (111) for the year 2017 issued pursuant to the provisions of the electronic transactions law No. (15) of the year 2015, As this guideline provides all the information necessary to answer any queries related to the process of obtaining the necessary license from Central Bank of Jordan, within several interrelated stages starting with the stage before submitting the license application walking through the initial and final approval stages of the license and continuing them until after obtaining the necessary license to practice any activity related to electronic paym</w:t>
            </w:r>
            <w:r w:rsidR="00516016" w:rsidRPr="003A0CB1">
              <w:rPr>
                <w:rFonts w:asciiTheme="majorBidi" w:hAnsiTheme="majorBidi" w:cstheme="majorBidi"/>
                <w:lang w:val="en-GB"/>
              </w:rPr>
              <w:t>ent and money transfer services</w:t>
            </w:r>
          </w:p>
        </w:tc>
        <w:tc>
          <w:tcPr>
            <w:tcW w:w="4363" w:type="dxa"/>
          </w:tcPr>
          <w:p w14:paraId="7CE50F43" w14:textId="2730C55D" w:rsidR="00807C3E" w:rsidRPr="003A0CB1" w:rsidRDefault="00807C3E" w:rsidP="00D426A8">
            <w:pPr>
              <w:jc w:val="both"/>
              <w:rPr>
                <w:rFonts w:asciiTheme="majorBidi" w:hAnsiTheme="majorBidi" w:cstheme="majorBidi"/>
                <w:lang w:val="en-GB"/>
              </w:rPr>
            </w:pPr>
            <w:r w:rsidRPr="003A0CB1">
              <w:rPr>
                <w:rFonts w:asciiTheme="majorBidi" w:hAnsiTheme="majorBidi" w:cstheme="majorBidi"/>
                <w:lang w:val="en-GB"/>
              </w:rPr>
              <w:lastRenderedPageBreak/>
              <w:t>Central Bank of Jordan (CBJ)</w:t>
            </w:r>
          </w:p>
        </w:tc>
        <w:tc>
          <w:tcPr>
            <w:tcW w:w="2559" w:type="dxa"/>
          </w:tcPr>
          <w:p w14:paraId="7A876663" w14:textId="77777777" w:rsidR="00807C3E" w:rsidRPr="003A0CB1" w:rsidRDefault="00807C3E" w:rsidP="00D426A8">
            <w:pPr>
              <w:jc w:val="both"/>
              <w:rPr>
                <w:rFonts w:asciiTheme="majorBidi" w:hAnsiTheme="majorBidi" w:cstheme="majorBidi"/>
                <w:lang w:val="en-GB"/>
              </w:rPr>
            </w:pPr>
          </w:p>
        </w:tc>
      </w:tr>
      <w:tr w:rsidR="00807C3E" w:rsidRPr="003A0CB1" w14:paraId="5235D2AD" w14:textId="77777777" w:rsidTr="00D426A8">
        <w:tc>
          <w:tcPr>
            <w:tcW w:w="491" w:type="dxa"/>
            <w:shd w:val="clear" w:color="auto" w:fill="C36E73"/>
          </w:tcPr>
          <w:p w14:paraId="58A2AD9C" w14:textId="77F33173" w:rsidR="00807C3E" w:rsidRPr="003A0CB1" w:rsidRDefault="00807C3E" w:rsidP="00807C3E">
            <w:pPr>
              <w:jc w:val="center"/>
              <w:rPr>
                <w:rFonts w:ascii="Segoe UI" w:hAnsi="Segoe UI" w:cs="Segoe UI"/>
                <w:b/>
                <w:bCs/>
                <w:color w:val="FFFFFF" w:themeColor="background1"/>
                <w:lang w:val="en-GB"/>
              </w:rPr>
            </w:pPr>
            <w:r w:rsidRPr="003A0CB1">
              <w:rPr>
                <w:b/>
                <w:bCs/>
                <w:color w:val="FFFFFF" w:themeColor="background1"/>
                <w:lang w:val="en-GB"/>
              </w:rPr>
              <w:t>11</w:t>
            </w:r>
          </w:p>
        </w:tc>
        <w:tc>
          <w:tcPr>
            <w:tcW w:w="2914" w:type="dxa"/>
            <w:shd w:val="clear" w:color="auto" w:fill="auto"/>
          </w:tcPr>
          <w:p w14:paraId="73EB2C4F" w14:textId="39959C5D" w:rsidR="00807C3E" w:rsidRPr="003A0CB1" w:rsidRDefault="00807C3E" w:rsidP="00807C3E">
            <w:pPr>
              <w:rPr>
                <w:rFonts w:ascii="Segoe UI" w:hAnsi="Segoe UI" w:cs="Segoe UI"/>
                <w:b/>
                <w:bCs/>
                <w:color w:val="80181F"/>
                <w:lang w:val="en-GB"/>
              </w:rPr>
            </w:pPr>
            <w:r w:rsidRPr="003A0CB1">
              <w:rPr>
                <w:rFonts w:ascii="Segoe UI" w:hAnsi="Segoe UI" w:cs="Segoe UI"/>
                <w:b/>
                <w:bCs/>
                <w:color w:val="80181F"/>
                <w:lang w:val="en-GB"/>
              </w:rPr>
              <w:t>Possibility to amend existing legislation EM and PSP</w:t>
            </w:r>
          </w:p>
        </w:tc>
        <w:tc>
          <w:tcPr>
            <w:tcW w:w="3848" w:type="dxa"/>
          </w:tcPr>
          <w:p w14:paraId="65C89E69" w14:textId="77777777" w:rsidR="00807C3E" w:rsidRPr="003A0CB1" w:rsidRDefault="00807C3E" w:rsidP="00D426A8">
            <w:pPr>
              <w:jc w:val="both"/>
              <w:rPr>
                <w:rFonts w:asciiTheme="majorBidi" w:hAnsiTheme="majorBidi" w:cstheme="majorBidi"/>
                <w:b/>
                <w:bCs/>
                <w:i/>
                <w:iCs/>
                <w:u w:val="single"/>
                <w:lang w:val="en-GB"/>
              </w:rPr>
            </w:pPr>
            <w:r w:rsidRPr="003A0CB1">
              <w:rPr>
                <w:rFonts w:asciiTheme="majorBidi" w:hAnsiTheme="majorBidi" w:cstheme="majorBidi"/>
                <w:lang w:val="en-GB"/>
              </w:rPr>
              <w:t xml:space="preserve">According to the Constitution of the Hashemite Kingdom of Jordan, </w:t>
            </w:r>
          </w:p>
          <w:p w14:paraId="5C72038D" w14:textId="77777777" w:rsidR="00807C3E" w:rsidRPr="003A0CB1" w:rsidRDefault="00807C3E" w:rsidP="00D426A8">
            <w:pPr>
              <w:jc w:val="both"/>
              <w:rPr>
                <w:rFonts w:asciiTheme="majorBidi" w:hAnsiTheme="majorBidi" w:cstheme="majorBidi"/>
                <w:b/>
                <w:bCs/>
                <w:i/>
                <w:iCs/>
                <w:u w:val="single"/>
                <w:lang w:val="en-GB"/>
              </w:rPr>
            </w:pPr>
          </w:p>
          <w:p w14:paraId="55990F75" w14:textId="77777777" w:rsidR="00170BAB" w:rsidRPr="003A0CB1" w:rsidRDefault="00807C3E" w:rsidP="00D426A8">
            <w:pPr>
              <w:jc w:val="both"/>
              <w:rPr>
                <w:rFonts w:asciiTheme="majorBidi" w:hAnsiTheme="majorBidi" w:cstheme="majorBidi"/>
                <w:i/>
                <w:iCs/>
                <w:lang w:val="en-GB"/>
              </w:rPr>
            </w:pPr>
            <w:r w:rsidRPr="003A0CB1">
              <w:rPr>
                <w:rFonts w:asciiTheme="majorBidi" w:hAnsiTheme="majorBidi" w:cstheme="majorBidi"/>
                <w:b/>
                <w:bCs/>
                <w:i/>
                <w:iCs/>
                <w:u w:val="single"/>
                <w:lang w:val="en-GB"/>
              </w:rPr>
              <w:t>Article 91:</w:t>
            </w:r>
            <w:r w:rsidRPr="003A0CB1">
              <w:rPr>
                <w:rFonts w:asciiTheme="majorBidi" w:hAnsiTheme="majorBidi" w:cstheme="majorBidi"/>
                <w:i/>
                <w:iCs/>
                <w:lang w:val="en-GB"/>
              </w:rPr>
              <w:t xml:space="preserve"> </w:t>
            </w:r>
          </w:p>
          <w:p w14:paraId="1CFF1729" w14:textId="06825D11" w:rsidR="00807C3E" w:rsidRPr="003A0CB1" w:rsidRDefault="00807C3E" w:rsidP="00D426A8">
            <w:pPr>
              <w:pStyle w:val="Prrafodelista"/>
              <w:numPr>
                <w:ilvl w:val="0"/>
                <w:numId w:val="10"/>
              </w:numPr>
              <w:jc w:val="both"/>
              <w:rPr>
                <w:rFonts w:asciiTheme="majorBidi" w:hAnsiTheme="majorBidi" w:cstheme="majorBidi"/>
                <w:lang w:val="en-GB"/>
              </w:rPr>
            </w:pPr>
            <w:r w:rsidRPr="003A0CB1">
              <w:rPr>
                <w:rFonts w:asciiTheme="majorBidi" w:hAnsiTheme="majorBidi" w:cstheme="majorBidi"/>
                <w:i/>
                <w:iCs/>
                <w:lang w:val="en-GB"/>
              </w:rPr>
              <w:t xml:space="preserve">The Prime Minister shall refer to the Chamber of Deputies any draft law, and the Chamber shall be entitled to accept, amend, or reject the draft law, but in all </w:t>
            </w:r>
            <w:r w:rsidR="00516016" w:rsidRPr="003A0CB1">
              <w:rPr>
                <w:rFonts w:asciiTheme="majorBidi" w:hAnsiTheme="majorBidi" w:cstheme="majorBidi"/>
                <w:i/>
                <w:iCs/>
                <w:lang w:val="en-GB"/>
              </w:rPr>
              <w:t>cases,</w:t>
            </w:r>
            <w:r w:rsidRPr="003A0CB1">
              <w:rPr>
                <w:rFonts w:asciiTheme="majorBidi" w:hAnsiTheme="majorBidi" w:cstheme="majorBidi"/>
                <w:i/>
                <w:iCs/>
                <w:lang w:val="en-GB"/>
              </w:rPr>
              <w:t xml:space="preserve"> the Chamber shall refer the draft law to the Senate. No law may be promulgated unless passed by both the Senate and the Chamber of De</w:t>
            </w:r>
            <w:r w:rsidR="00516016" w:rsidRPr="003A0CB1">
              <w:rPr>
                <w:rFonts w:asciiTheme="majorBidi" w:hAnsiTheme="majorBidi" w:cstheme="majorBidi"/>
                <w:i/>
                <w:iCs/>
                <w:lang w:val="en-GB"/>
              </w:rPr>
              <w:t>puties and ratified by the King</w:t>
            </w:r>
          </w:p>
          <w:p w14:paraId="012838B2" w14:textId="77777777" w:rsidR="00807C3E" w:rsidRPr="003A0CB1" w:rsidRDefault="00807C3E" w:rsidP="00D426A8">
            <w:pPr>
              <w:jc w:val="both"/>
              <w:rPr>
                <w:rFonts w:asciiTheme="majorBidi" w:hAnsiTheme="majorBidi" w:cstheme="majorBidi"/>
                <w:lang w:val="en-GB"/>
              </w:rPr>
            </w:pPr>
          </w:p>
          <w:p w14:paraId="30BA63B4" w14:textId="4E2B9F9C" w:rsidR="00807C3E" w:rsidRPr="003A0CB1" w:rsidRDefault="00807C3E" w:rsidP="00D426A8">
            <w:pPr>
              <w:shd w:val="clear" w:color="auto" w:fill="FFFFFF"/>
              <w:spacing w:after="300"/>
              <w:jc w:val="both"/>
              <w:rPr>
                <w:rFonts w:asciiTheme="majorBidi" w:eastAsia="Times New Roman" w:hAnsiTheme="majorBidi" w:cstheme="majorBidi"/>
                <w:lang w:val="en-GB"/>
              </w:rPr>
            </w:pPr>
            <w:r w:rsidRPr="003A0CB1">
              <w:rPr>
                <w:rFonts w:asciiTheme="majorBidi" w:eastAsia="Times New Roman" w:hAnsiTheme="majorBidi" w:cstheme="majorBidi"/>
                <w:lang w:val="en-GB"/>
              </w:rPr>
              <w:lastRenderedPageBreak/>
              <w:t>OR</w:t>
            </w:r>
          </w:p>
          <w:p w14:paraId="798FBE63" w14:textId="77777777" w:rsidR="00807C3E" w:rsidRPr="003A0CB1" w:rsidRDefault="00807C3E" w:rsidP="00D426A8">
            <w:pPr>
              <w:shd w:val="clear" w:color="auto" w:fill="FFFFFF"/>
              <w:jc w:val="both"/>
              <w:rPr>
                <w:rFonts w:asciiTheme="majorBidi" w:eastAsia="Times New Roman" w:hAnsiTheme="majorBidi" w:cstheme="majorBidi"/>
                <w:i/>
                <w:iCs/>
                <w:lang w:val="en-GB"/>
              </w:rPr>
            </w:pPr>
            <w:r w:rsidRPr="003A0CB1">
              <w:rPr>
                <w:rFonts w:asciiTheme="majorBidi" w:eastAsia="Times New Roman" w:hAnsiTheme="majorBidi" w:cstheme="majorBidi"/>
                <w:i/>
                <w:iCs/>
                <w:lang w:val="en-GB"/>
              </w:rPr>
              <w:t xml:space="preserve"> </w:t>
            </w:r>
            <w:r w:rsidRPr="003A0CB1">
              <w:rPr>
                <w:rFonts w:asciiTheme="majorBidi" w:eastAsia="Times New Roman" w:hAnsiTheme="majorBidi" w:cstheme="majorBidi"/>
                <w:b/>
                <w:bCs/>
                <w:i/>
                <w:iCs/>
                <w:u w:val="single"/>
                <w:lang w:val="en-GB"/>
              </w:rPr>
              <w:t>Article 95</w:t>
            </w:r>
            <w:r w:rsidRPr="003A0CB1">
              <w:rPr>
                <w:rFonts w:asciiTheme="majorBidi" w:eastAsia="Times New Roman" w:hAnsiTheme="majorBidi" w:cstheme="majorBidi"/>
                <w:i/>
                <w:iCs/>
                <w:lang w:val="en-GB"/>
              </w:rPr>
              <w:t>:</w:t>
            </w:r>
          </w:p>
          <w:p w14:paraId="1A87DF8B" w14:textId="5960EE0B" w:rsidR="00807C3E" w:rsidRPr="003A0CB1" w:rsidRDefault="00807C3E" w:rsidP="00D426A8">
            <w:pPr>
              <w:pStyle w:val="Prrafodelista"/>
              <w:numPr>
                <w:ilvl w:val="0"/>
                <w:numId w:val="10"/>
              </w:numPr>
              <w:shd w:val="clear" w:color="auto" w:fill="FFFFFF"/>
              <w:jc w:val="both"/>
              <w:rPr>
                <w:rFonts w:asciiTheme="majorBidi" w:eastAsia="Times New Roman" w:hAnsiTheme="majorBidi" w:cstheme="majorBidi"/>
                <w:i/>
                <w:iCs/>
                <w:lang w:val="en-GB"/>
              </w:rPr>
            </w:pPr>
            <w:r w:rsidRPr="003A0CB1">
              <w:rPr>
                <w:rFonts w:asciiTheme="majorBidi" w:eastAsia="Times New Roman" w:hAnsiTheme="majorBidi" w:cstheme="majorBidi"/>
                <w:i/>
                <w:iCs/>
                <w:vertAlign w:val="superscript"/>
                <w:lang w:val="en-GB"/>
              </w:rPr>
              <w:t>*</w:t>
            </w:r>
            <w:r w:rsidRPr="003A0CB1">
              <w:rPr>
                <w:rFonts w:asciiTheme="majorBidi" w:eastAsia="Times New Roman" w:hAnsiTheme="majorBidi" w:cstheme="majorBidi"/>
                <w:i/>
                <w:iCs/>
                <w:lang w:val="en-GB"/>
              </w:rPr>
              <w:t> Any ten or more Senators or Deputies may propose any law. Such proposal shall be referred to the committee concerned in the House for its views. If the House is of the opinion that the proposal be accepted it shall refer it to the Government for drafting it in the form of draft law, and to submit it to the House either during the same session or at the following session.</w:t>
            </w:r>
          </w:p>
          <w:p w14:paraId="200FCF75" w14:textId="1B03A306" w:rsidR="00807C3E" w:rsidRPr="003A0CB1" w:rsidRDefault="00807C3E" w:rsidP="00D426A8">
            <w:pPr>
              <w:pStyle w:val="Prrafodelista"/>
              <w:numPr>
                <w:ilvl w:val="0"/>
                <w:numId w:val="10"/>
              </w:numPr>
              <w:jc w:val="both"/>
              <w:rPr>
                <w:rFonts w:asciiTheme="majorBidi" w:hAnsiTheme="majorBidi" w:cstheme="majorBidi"/>
                <w:lang w:val="en-GB"/>
              </w:rPr>
            </w:pPr>
            <w:r w:rsidRPr="003A0CB1">
              <w:rPr>
                <w:rFonts w:asciiTheme="majorBidi" w:eastAsia="Times New Roman" w:hAnsiTheme="majorBidi" w:cstheme="majorBidi"/>
                <w:i/>
                <w:iCs/>
                <w:lang w:val="en-GB"/>
              </w:rPr>
              <w:t>Any law proposed by Senators or Deputies in accordance with the preceding paragraph and rejected by either House shall not be presented for a second time during the same session.</w:t>
            </w:r>
            <w:r w:rsidRPr="003A0CB1">
              <w:rPr>
                <w:rFonts w:asciiTheme="majorBidi" w:eastAsia="Times New Roman" w:hAnsiTheme="majorBidi" w:cstheme="majorBidi"/>
                <w:i/>
                <w:iCs/>
                <w:lang w:val="en-GB"/>
              </w:rPr>
              <w:br/>
            </w:r>
            <w:r w:rsidRPr="003A0CB1">
              <w:rPr>
                <w:rFonts w:asciiTheme="majorBidi" w:eastAsia="Times New Roman" w:hAnsiTheme="majorBidi" w:cstheme="majorBidi"/>
                <w:i/>
                <w:iCs/>
                <w:vertAlign w:val="superscript"/>
                <w:lang w:val="en-GB"/>
              </w:rPr>
              <w:t>*</w:t>
            </w:r>
            <w:r w:rsidRPr="003A0CB1">
              <w:rPr>
                <w:rFonts w:asciiTheme="majorBidi" w:eastAsia="Times New Roman" w:hAnsiTheme="majorBidi" w:cstheme="majorBidi"/>
                <w:i/>
                <w:iCs/>
                <w:lang w:val="en-GB"/>
              </w:rPr>
              <w:t> As amended in the Official Gazette No. 1380 of 4/5/1958.</w:t>
            </w:r>
          </w:p>
        </w:tc>
        <w:tc>
          <w:tcPr>
            <w:tcW w:w="4363" w:type="dxa"/>
          </w:tcPr>
          <w:p w14:paraId="19967F9E" w14:textId="3FF2FF04" w:rsidR="00807C3E" w:rsidRPr="003A0CB1" w:rsidRDefault="00807C3E" w:rsidP="00D426A8">
            <w:pPr>
              <w:jc w:val="both"/>
              <w:rPr>
                <w:rFonts w:asciiTheme="majorBidi" w:hAnsiTheme="majorBidi" w:cstheme="majorBidi"/>
                <w:lang w:val="en-GB"/>
              </w:rPr>
            </w:pPr>
            <w:r w:rsidRPr="003A0CB1">
              <w:rPr>
                <w:rFonts w:asciiTheme="majorBidi" w:hAnsiTheme="majorBidi" w:cstheme="majorBidi"/>
                <w:lang w:val="en-GB"/>
              </w:rPr>
              <w:lastRenderedPageBreak/>
              <w:t xml:space="preserve">CBJ / Prime Ministry / Parliament </w:t>
            </w:r>
          </w:p>
        </w:tc>
        <w:tc>
          <w:tcPr>
            <w:tcW w:w="2559" w:type="dxa"/>
          </w:tcPr>
          <w:p w14:paraId="3DAA8825" w14:textId="77777777" w:rsidR="00807C3E" w:rsidRPr="003A0CB1" w:rsidRDefault="00807C3E" w:rsidP="00D426A8">
            <w:pPr>
              <w:jc w:val="both"/>
              <w:rPr>
                <w:rFonts w:asciiTheme="majorBidi" w:hAnsiTheme="majorBidi" w:cstheme="majorBidi"/>
                <w:lang w:val="en-GB"/>
              </w:rPr>
            </w:pPr>
          </w:p>
        </w:tc>
      </w:tr>
      <w:tr w:rsidR="00807C3E" w:rsidRPr="005B6D1F" w14:paraId="01BCB626" w14:textId="77777777" w:rsidTr="00D426A8">
        <w:tc>
          <w:tcPr>
            <w:tcW w:w="491" w:type="dxa"/>
            <w:shd w:val="clear" w:color="auto" w:fill="C36E73"/>
          </w:tcPr>
          <w:p w14:paraId="75E00B83" w14:textId="49C69429" w:rsidR="00807C3E" w:rsidRPr="003A0CB1" w:rsidRDefault="00807C3E" w:rsidP="00807C3E">
            <w:pPr>
              <w:jc w:val="center"/>
              <w:rPr>
                <w:rFonts w:ascii="Segoe UI" w:hAnsi="Segoe UI" w:cs="Segoe UI"/>
                <w:b/>
                <w:bCs/>
                <w:color w:val="FFFFFF" w:themeColor="background1"/>
                <w:lang w:val="en-GB"/>
              </w:rPr>
            </w:pPr>
            <w:r w:rsidRPr="003A0CB1">
              <w:rPr>
                <w:b/>
                <w:bCs/>
                <w:color w:val="FFFFFF" w:themeColor="background1"/>
                <w:lang w:val="en-GB"/>
              </w:rPr>
              <w:t>12</w:t>
            </w:r>
          </w:p>
        </w:tc>
        <w:tc>
          <w:tcPr>
            <w:tcW w:w="2914" w:type="dxa"/>
            <w:shd w:val="clear" w:color="auto" w:fill="auto"/>
          </w:tcPr>
          <w:p w14:paraId="79690CAD" w14:textId="3858C7CE" w:rsidR="00807C3E" w:rsidRPr="003A0CB1" w:rsidRDefault="00807C3E" w:rsidP="00807C3E">
            <w:pPr>
              <w:rPr>
                <w:rFonts w:ascii="Segoe UI" w:hAnsi="Segoe UI" w:cs="Segoe UI"/>
                <w:b/>
                <w:bCs/>
                <w:color w:val="80181F"/>
                <w:lang w:val="en-GB"/>
              </w:rPr>
            </w:pPr>
            <w:r w:rsidRPr="003A0CB1">
              <w:rPr>
                <w:rFonts w:ascii="Segoe UI" w:hAnsi="Segoe UI" w:cs="Segoe UI"/>
                <w:b/>
                <w:bCs/>
                <w:color w:val="80181F"/>
                <w:lang w:val="en-GB"/>
              </w:rPr>
              <w:t>Problem identification/Regulatory implementation EM and PSPs</w:t>
            </w:r>
          </w:p>
        </w:tc>
        <w:tc>
          <w:tcPr>
            <w:tcW w:w="3848" w:type="dxa"/>
          </w:tcPr>
          <w:p w14:paraId="3B5DFDE6" w14:textId="77777777" w:rsidR="00807C3E" w:rsidRPr="003A0CB1" w:rsidRDefault="00807C3E" w:rsidP="00D426A8">
            <w:pPr>
              <w:jc w:val="both"/>
              <w:rPr>
                <w:rFonts w:asciiTheme="majorBidi" w:hAnsiTheme="majorBidi" w:cstheme="majorBidi"/>
                <w:lang w:val="en-GB"/>
              </w:rPr>
            </w:pPr>
            <w:r w:rsidRPr="003A0CB1">
              <w:rPr>
                <w:rFonts w:asciiTheme="majorBidi" w:hAnsiTheme="majorBidi" w:cstheme="majorBidi"/>
                <w:lang w:val="en-GB"/>
              </w:rPr>
              <w:t xml:space="preserve">Risk of consumers losing funds if their bank failures. As noted, there are no provisions to ensure individual funds held in mobile wallets are protected in the event of bank failure. However, Central Bank of Jordan (CBJ) is working to mitigate this risk. CBJ plans to release consumer protection by-laws that will address many of these issues. It is also in the process of </w:t>
            </w:r>
            <w:r w:rsidRPr="003A0CB1">
              <w:rPr>
                <w:rFonts w:asciiTheme="majorBidi" w:hAnsiTheme="majorBidi" w:cstheme="majorBidi"/>
                <w:lang w:val="en-GB"/>
              </w:rPr>
              <w:lastRenderedPageBreak/>
              <w:t>establishing a dedicated department for consumer protection.</w:t>
            </w:r>
          </w:p>
          <w:p w14:paraId="1FE23706" w14:textId="77777777" w:rsidR="00807C3E" w:rsidRPr="003A0CB1" w:rsidRDefault="00807C3E" w:rsidP="00D426A8">
            <w:pPr>
              <w:jc w:val="both"/>
              <w:rPr>
                <w:rFonts w:asciiTheme="majorBidi" w:hAnsiTheme="majorBidi" w:cstheme="majorBidi"/>
                <w:lang w:val="en-GB"/>
              </w:rPr>
            </w:pPr>
          </w:p>
          <w:p w14:paraId="4E1850EB" w14:textId="4465AC2F" w:rsidR="00807C3E" w:rsidRPr="003A0CB1" w:rsidRDefault="00807C3E" w:rsidP="00D426A8">
            <w:pPr>
              <w:jc w:val="both"/>
              <w:rPr>
                <w:rFonts w:asciiTheme="majorBidi" w:hAnsiTheme="majorBidi" w:cstheme="majorBidi"/>
                <w:lang w:val="en-GB"/>
              </w:rPr>
            </w:pPr>
            <w:r w:rsidRPr="003A0CB1">
              <w:rPr>
                <w:rFonts w:asciiTheme="majorBidi" w:hAnsiTheme="majorBidi" w:cstheme="majorBidi"/>
                <w:lang w:val="en-GB"/>
              </w:rPr>
              <w:t xml:space="preserve">There is no general legislation relating to consumer protection in Jordan and no specific financial consumer protection regulations. Customers who hold bank accounts are covered by the 2012 Instructions on Dealing with Customers Fairly and Transparently (no.56/2012), which mandates activities such as transparency of fees and interest rates, disclosure of terms and agreements before the client enters into a relationship with the bank, and the establishment of a consumer complaints procedure. Articles (73), (74), and (75) of the Banking Law (no.28/2000) provides for data protection and privacy. </w:t>
            </w:r>
          </w:p>
        </w:tc>
        <w:tc>
          <w:tcPr>
            <w:tcW w:w="4363" w:type="dxa"/>
          </w:tcPr>
          <w:p w14:paraId="05B3AAE4" w14:textId="495DCDD0" w:rsidR="00807C3E" w:rsidRPr="003A0CB1" w:rsidRDefault="00807C3E" w:rsidP="00D426A8">
            <w:pPr>
              <w:jc w:val="both"/>
              <w:rPr>
                <w:rFonts w:asciiTheme="majorBidi" w:hAnsiTheme="majorBidi" w:cstheme="majorBidi"/>
                <w:lang w:val="en-GB"/>
              </w:rPr>
            </w:pPr>
            <w:r w:rsidRPr="003A0CB1">
              <w:rPr>
                <w:rFonts w:asciiTheme="majorBidi" w:hAnsiTheme="majorBidi" w:cstheme="majorBidi"/>
                <w:lang w:val="en-GB"/>
              </w:rPr>
              <w:lastRenderedPageBreak/>
              <w:t xml:space="preserve">Overall, the regulatory environment for issuing e-money in Jordan is sound. The recent amendment to the CBJ law (article 50) and the issuance of the 2017 instructions requiring settlement accounts to be held in escrow and the subsequent cancelling of the bank guarantee mean that protection of customer funds is proportionate and robust. However, there remains some risk to the safety of consumer funds in the event of bank failure, given the </w:t>
            </w:r>
            <w:r w:rsidRPr="003A0CB1">
              <w:rPr>
                <w:rFonts w:asciiTheme="majorBidi" w:hAnsiTheme="majorBidi" w:cstheme="majorBidi"/>
                <w:lang w:val="en-GB"/>
              </w:rPr>
              <w:lastRenderedPageBreak/>
              <w:t>scope of the country’s deposit protection scheme and the lack of settlemen</w:t>
            </w:r>
            <w:r w:rsidR="00516016" w:rsidRPr="003A0CB1">
              <w:rPr>
                <w:rFonts w:asciiTheme="majorBidi" w:hAnsiTheme="majorBidi" w:cstheme="majorBidi"/>
                <w:lang w:val="en-GB"/>
              </w:rPr>
              <w:t>t account diversification rules</w:t>
            </w:r>
          </w:p>
          <w:p w14:paraId="289C8ACA" w14:textId="77777777" w:rsidR="00516016" w:rsidRPr="003A0CB1" w:rsidRDefault="00516016" w:rsidP="00D426A8">
            <w:pPr>
              <w:jc w:val="both"/>
              <w:rPr>
                <w:rFonts w:asciiTheme="majorBidi" w:hAnsiTheme="majorBidi" w:cstheme="majorBidi"/>
                <w:lang w:val="en-GB"/>
              </w:rPr>
            </w:pPr>
          </w:p>
          <w:p w14:paraId="15E51BD1" w14:textId="58AF9F41" w:rsidR="00807C3E" w:rsidRPr="003A0CB1" w:rsidRDefault="00807C3E" w:rsidP="00D426A8">
            <w:pPr>
              <w:jc w:val="both"/>
              <w:rPr>
                <w:rFonts w:asciiTheme="majorBidi" w:hAnsiTheme="majorBidi" w:cstheme="majorBidi"/>
                <w:lang w:val="en-GB"/>
              </w:rPr>
            </w:pPr>
            <w:r w:rsidRPr="003A0CB1">
              <w:rPr>
                <w:rFonts w:asciiTheme="majorBidi" w:hAnsiTheme="majorBidi" w:cstheme="majorBidi"/>
                <w:lang w:val="en-GB"/>
              </w:rPr>
              <w:t>Consumer protection and transparency present big challenges, and adherence to international standards of consumer protection is very important, particularly for lower-income groups that have low levels of financial literacy. While CBJ has identified consumer protection as an area that requires attention, effective legislation must be developed in the short term to ensure that consumers are protected as soon as possible. It also is important to recognize that consumer protection is a broader issue throughout Jordan and that it is not limited to e-money issuance or payments services. As the sector continues to grow and use increases, it will be important to ensure robust ongoing oversight of the sector, and CBJ must continue to foster an environment of open dialogue and consultation with industry and SSE players.</w:t>
            </w:r>
          </w:p>
        </w:tc>
        <w:tc>
          <w:tcPr>
            <w:tcW w:w="2559" w:type="dxa"/>
          </w:tcPr>
          <w:p w14:paraId="1168EF9B" w14:textId="77777777" w:rsidR="00807C3E" w:rsidRPr="003A0CB1" w:rsidRDefault="00807C3E" w:rsidP="00D426A8">
            <w:pPr>
              <w:jc w:val="both"/>
              <w:rPr>
                <w:rFonts w:asciiTheme="majorBidi" w:hAnsiTheme="majorBidi" w:cstheme="majorBidi"/>
                <w:lang w:val="en-GB"/>
              </w:rPr>
            </w:pPr>
          </w:p>
        </w:tc>
      </w:tr>
      <w:tr w:rsidR="00807C3E" w:rsidRPr="003A0CB1" w14:paraId="239A6019" w14:textId="77777777" w:rsidTr="00D426A8">
        <w:tc>
          <w:tcPr>
            <w:tcW w:w="491" w:type="dxa"/>
            <w:shd w:val="clear" w:color="auto" w:fill="C36E73"/>
          </w:tcPr>
          <w:p w14:paraId="3FA4830E" w14:textId="76859A36" w:rsidR="00807C3E" w:rsidRPr="003A0CB1" w:rsidRDefault="00807C3E" w:rsidP="00807C3E">
            <w:pPr>
              <w:jc w:val="center"/>
              <w:rPr>
                <w:rFonts w:ascii="Segoe UI" w:hAnsi="Segoe UI" w:cs="Segoe UI"/>
                <w:b/>
                <w:bCs/>
                <w:color w:val="FFFFFF" w:themeColor="background1"/>
                <w:lang w:val="en-GB"/>
              </w:rPr>
            </w:pPr>
            <w:r w:rsidRPr="003A0CB1">
              <w:rPr>
                <w:b/>
                <w:bCs/>
                <w:color w:val="FFFFFF" w:themeColor="background1"/>
                <w:lang w:val="en-GB"/>
              </w:rPr>
              <w:t>13</w:t>
            </w:r>
          </w:p>
        </w:tc>
        <w:tc>
          <w:tcPr>
            <w:tcW w:w="2914" w:type="dxa"/>
            <w:shd w:val="clear" w:color="auto" w:fill="auto"/>
          </w:tcPr>
          <w:p w14:paraId="7E7A1162" w14:textId="77777777" w:rsidR="00807C3E" w:rsidRPr="003A0CB1" w:rsidRDefault="00807C3E" w:rsidP="00807C3E">
            <w:pPr>
              <w:rPr>
                <w:rFonts w:ascii="Segoe UI" w:hAnsi="Segoe UI" w:cs="Segoe UI"/>
                <w:b/>
                <w:bCs/>
                <w:color w:val="80181F"/>
                <w:lang w:val="en-GB"/>
              </w:rPr>
            </w:pPr>
            <w:r w:rsidRPr="003A0CB1">
              <w:rPr>
                <w:rFonts w:ascii="Segoe UI" w:hAnsi="Segoe UI" w:cs="Segoe UI"/>
                <w:b/>
                <w:bCs/>
                <w:color w:val="80181F"/>
                <w:lang w:val="en-GB"/>
              </w:rPr>
              <w:t>EM, PSP regulation and others applicable to the Demonstration Action (Concrete Project)</w:t>
            </w:r>
          </w:p>
          <w:p w14:paraId="52D0A1BC" w14:textId="77777777" w:rsidR="00807C3E" w:rsidRPr="003A0CB1" w:rsidRDefault="00807C3E" w:rsidP="00807C3E">
            <w:pPr>
              <w:rPr>
                <w:rFonts w:ascii="Segoe UI" w:hAnsi="Segoe UI" w:cs="Segoe UI"/>
                <w:b/>
                <w:bCs/>
                <w:color w:val="80181F"/>
                <w:lang w:val="en-GB"/>
              </w:rPr>
            </w:pPr>
          </w:p>
        </w:tc>
        <w:tc>
          <w:tcPr>
            <w:tcW w:w="3848" w:type="dxa"/>
          </w:tcPr>
          <w:p w14:paraId="28D993B2" w14:textId="48E2BC1B" w:rsidR="00807C3E" w:rsidRPr="003A0CB1" w:rsidRDefault="00807C3E" w:rsidP="00D426A8">
            <w:pPr>
              <w:jc w:val="both"/>
              <w:rPr>
                <w:rFonts w:asciiTheme="majorBidi" w:hAnsiTheme="majorBidi" w:cstheme="majorBidi"/>
                <w:lang w:val="en-GB"/>
              </w:rPr>
            </w:pPr>
            <w:r w:rsidRPr="003A0CB1">
              <w:rPr>
                <w:rFonts w:asciiTheme="majorBidi" w:hAnsiTheme="majorBidi" w:cstheme="majorBidi"/>
                <w:lang w:val="en-GB"/>
              </w:rPr>
              <w:t>Bank of Jordan issued a guideline to assist any entity wishing to engage in any of the activities of electronic payment and money transfer services specified in the electronic payment and money transfer bylaw No. (111) for the year 2017 issued pursuant to the provisions of the electronic transactions law No. (15) of the year 2015.</w:t>
            </w:r>
          </w:p>
        </w:tc>
        <w:tc>
          <w:tcPr>
            <w:tcW w:w="4363" w:type="dxa"/>
          </w:tcPr>
          <w:p w14:paraId="3E03EACE" w14:textId="77777777" w:rsidR="00807C3E" w:rsidRPr="003A0CB1" w:rsidRDefault="00807C3E" w:rsidP="00D426A8">
            <w:pPr>
              <w:jc w:val="both"/>
              <w:rPr>
                <w:rFonts w:asciiTheme="majorBidi" w:hAnsiTheme="majorBidi" w:cstheme="majorBidi"/>
                <w:lang w:val="en-GB"/>
              </w:rPr>
            </w:pPr>
          </w:p>
        </w:tc>
        <w:tc>
          <w:tcPr>
            <w:tcW w:w="2559" w:type="dxa"/>
          </w:tcPr>
          <w:p w14:paraId="3753C431" w14:textId="77777777" w:rsidR="00807C3E" w:rsidRPr="003A0CB1" w:rsidRDefault="00807C3E" w:rsidP="00D426A8">
            <w:pPr>
              <w:jc w:val="both"/>
              <w:rPr>
                <w:rFonts w:asciiTheme="majorBidi" w:hAnsiTheme="majorBidi" w:cstheme="majorBidi"/>
                <w:lang w:val="en-GB"/>
              </w:rPr>
            </w:pPr>
          </w:p>
        </w:tc>
      </w:tr>
      <w:tr w:rsidR="00807C3E" w:rsidRPr="005B6D1F" w14:paraId="744363EC" w14:textId="77777777" w:rsidTr="00D426A8">
        <w:tc>
          <w:tcPr>
            <w:tcW w:w="491" w:type="dxa"/>
            <w:shd w:val="clear" w:color="auto" w:fill="C36E73"/>
          </w:tcPr>
          <w:p w14:paraId="74655FD1" w14:textId="5AE5334D" w:rsidR="00807C3E" w:rsidRPr="003A0CB1" w:rsidRDefault="00807C3E" w:rsidP="00807C3E">
            <w:pPr>
              <w:jc w:val="center"/>
              <w:rPr>
                <w:rFonts w:ascii="Segoe UI" w:hAnsi="Segoe UI" w:cs="Segoe UI"/>
                <w:b/>
                <w:bCs/>
                <w:color w:val="FFFFFF" w:themeColor="background1"/>
                <w:lang w:val="en-GB"/>
              </w:rPr>
            </w:pPr>
            <w:r w:rsidRPr="003A0CB1">
              <w:rPr>
                <w:b/>
                <w:bCs/>
                <w:color w:val="FFFFFF" w:themeColor="background1"/>
                <w:lang w:val="en-GB"/>
              </w:rPr>
              <w:lastRenderedPageBreak/>
              <w:t>14</w:t>
            </w:r>
          </w:p>
        </w:tc>
        <w:tc>
          <w:tcPr>
            <w:tcW w:w="2914" w:type="dxa"/>
            <w:shd w:val="clear" w:color="auto" w:fill="auto"/>
          </w:tcPr>
          <w:p w14:paraId="7019D2BA" w14:textId="35A344B9" w:rsidR="00807C3E" w:rsidRPr="003A0CB1" w:rsidRDefault="00807C3E" w:rsidP="00807C3E">
            <w:pPr>
              <w:rPr>
                <w:rFonts w:ascii="Segoe UI" w:hAnsi="Segoe UI" w:cs="Segoe UI"/>
                <w:b/>
                <w:bCs/>
                <w:color w:val="80181F"/>
                <w:lang w:val="en-GB"/>
              </w:rPr>
            </w:pPr>
            <w:r w:rsidRPr="003A0CB1">
              <w:rPr>
                <w:rFonts w:ascii="Segoe UI" w:hAnsi="Segoe UI" w:cs="Segoe UI"/>
                <w:b/>
                <w:bCs/>
                <w:color w:val="80181F"/>
                <w:lang w:val="en-GB"/>
              </w:rPr>
              <w:t>Is there specific legislation empowering a local authority or other public body to use electronic money and other means of payment?</w:t>
            </w:r>
          </w:p>
        </w:tc>
        <w:tc>
          <w:tcPr>
            <w:tcW w:w="3848" w:type="dxa"/>
          </w:tcPr>
          <w:p w14:paraId="29B628E0" w14:textId="74EB91F2" w:rsidR="00807C3E" w:rsidRPr="003A0CB1" w:rsidRDefault="00170BAB" w:rsidP="00D426A8">
            <w:pPr>
              <w:jc w:val="both"/>
              <w:rPr>
                <w:rFonts w:asciiTheme="majorBidi" w:hAnsiTheme="majorBidi" w:cstheme="majorBidi"/>
                <w:lang w:val="en-GB"/>
              </w:rPr>
            </w:pPr>
            <w:r w:rsidRPr="003A0CB1">
              <w:rPr>
                <w:rFonts w:asciiTheme="majorBidi" w:hAnsiTheme="majorBidi" w:cstheme="majorBidi"/>
                <w:lang w:val="en-GB"/>
              </w:rPr>
              <w:t>Registration should be obtained from the Central Bank of Jordan, with an approval from the prime ministry.</w:t>
            </w:r>
          </w:p>
        </w:tc>
        <w:tc>
          <w:tcPr>
            <w:tcW w:w="4363" w:type="dxa"/>
          </w:tcPr>
          <w:p w14:paraId="4C4AE43A" w14:textId="0C4AE98D" w:rsidR="00807C3E" w:rsidRPr="003A0CB1" w:rsidRDefault="00807C3E" w:rsidP="00D426A8">
            <w:pPr>
              <w:jc w:val="both"/>
              <w:rPr>
                <w:rFonts w:asciiTheme="majorBidi" w:hAnsiTheme="majorBidi" w:cstheme="majorBidi"/>
                <w:lang w:val="en-GB"/>
              </w:rPr>
            </w:pPr>
          </w:p>
        </w:tc>
        <w:tc>
          <w:tcPr>
            <w:tcW w:w="2559" w:type="dxa"/>
          </w:tcPr>
          <w:p w14:paraId="70227084" w14:textId="30EE8AC9" w:rsidR="00807C3E" w:rsidRPr="003A0CB1" w:rsidRDefault="00807C3E" w:rsidP="00D426A8">
            <w:pPr>
              <w:jc w:val="both"/>
              <w:rPr>
                <w:rFonts w:asciiTheme="majorBidi" w:hAnsiTheme="majorBidi" w:cstheme="majorBidi"/>
                <w:lang w:val="en-GB"/>
              </w:rPr>
            </w:pPr>
          </w:p>
        </w:tc>
      </w:tr>
      <w:tr w:rsidR="00170BAB" w:rsidRPr="005B6D1F" w14:paraId="23F6B4E0" w14:textId="77777777" w:rsidTr="00D426A8">
        <w:tc>
          <w:tcPr>
            <w:tcW w:w="491" w:type="dxa"/>
            <w:shd w:val="clear" w:color="auto" w:fill="C36E73"/>
          </w:tcPr>
          <w:p w14:paraId="585D4B32" w14:textId="5B7EF5DE" w:rsidR="00170BAB" w:rsidRPr="003A0CB1" w:rsidRDefault="00170BAB" w:rsidP="00170BAB">
            <w:pPr>
              <w:jc w:val="center"/>
              <w:rPr>
                <w:rFonts w:ascii="Segoe UI" w:hAnsi="Segoe UI" w:cs="Segoe UI"/>
                <w:b/>
                <w:bCs/>
                <w:color w:val="FFFFFF" w:themeColor="background1"/>
                <w:lang w:val="en-GB"/>
              </w:rPr>
            </w:pPr>
            <w:r w:rsidRPr="003A0CB1">
              <w:rPr>
                <w:b/>
                <w:bCs/>
                <w:color w:val="FFFFFF" w:themeColor="background1"/>
                <w:lang w:val="en-GB"/>
              </w:rPr>
              <w:t>15</w:t>
            </w:r>
          </w:p>
        </w:tc>
        <w:tc>
          <w:tcPr>
            <w:tcW w:w="2914" w:type="dxa"/>
            <w:shd w:val="clear" w:color="auto" w:fill="auto"/>
          </w:tcPr>
          <w:p w14:paraId="0E1A9DC0" w14:textId="2F00BA4D" w:rsidR="00170BAB" w:rsidRPr="003A0CB1" w:rsidRDefault="00170BAB" w:rsidP="00170BAB">
            <w:pPr>
              <w:rPr>
                <w:rFonts w:ascii="Segoe UI" w:hAnsi="Segoe UI" w:cs="Segoe UI"/>
                <w:b/>
                <w:bCs/>
                <w:color w:val="80181F"/>
                <w:lang w:val="en-GB"/>
              </w:rPr>
            </w:pPr>
            <w:r w:rsidRPr="003A0CB1">
              <w:rPr>
                <w:rFonts w:ascii="Segoe UI" w:hAnsi="Segoe UI" w:cs="Segoe UI"/>
                <w:b/>
                <w:bCs/>
                <w:color w:val="80181F"/>
                <w:lang w:val="en-GB"/>
              </w:rPr>
              <w:t>Are there PSPs other than legal tender provided by financial institutions?</w:t>
            </w:r>
          </w:p>
        </w:tc>
        <w:tc>
          <w:tcPr>
            <w:tcW w:w="3848" w:type="dxa"/>
          </w:tcPr>
          <w:p w14:paraId="2E228766" w14:textId="3C69E254" w:rsidR="00170BAB" w:rsidRPr="003A0CB1" w:rsidRDefault="00170BAB" w:rsidP="00D426A8">
            <w:pPr>
              <w:jc w:val="both"/>
              <w:rPr>
                <w:rFonts w:asciiTheme="majorBidi" w:hAnsiTheme="majorBidi" w:cstheme="majorBidi"/>
                <w:lang w:val="en-GB"/>
              </w:rPr>
            </w:pPr>
            <w:r w:rsidRPr="003A0CB1">
              <w:rPr>
                <w:rFonts w:asciiTheme="majorBidi" w:hAnsiTheme="majorBidi" w:cstheme="majorBidi"/>
                <w:lang w:val="en-GB"/>
              </w:rPr>
              <w:t>No</w:t>
            </w:r>
          </w:p>
        </w:tc>
        <w:tc>
          <w:tcPr>
            <w:tcW w:w="4363" w:type="dxa"/>
          </w:tcPr>
          <w:p w14:paraId="7DB113D1" w14:textId="728DA90A" w:rsidR="00170BAB" w:rsidRPr="003A0CB1" w:rsidRDefault="00170BAB" w:rsidP="00D426A8">
            <w:pPr>
              <w:pStyle w:val="Other0"/>
              <w:jc w:val="both"/>
              <w:rPr>
                <w:rFonts w:asciiTheme="majorBidi" w:hAnsiTheme="majorBidi" w:cstheme="majorBidi"/>
                <w:lang w:val="en-GB"/>
              </w:rPr>
            </w:pPr>
          </w:p>
        </w:tc>
        <w:tc>
          <w:tcPr>
            <w:tcW w:w="2559" w:type="dxa"/>
          </w:tcPr>
          <w:p w14:paraId="0D5228DF" w14:textId="08F322E0" w:rsidR="00170BAB" w:rsidRPr="003A0CB1" w:rsidRDefault="00170BAB" w:rsidP="00D426A8">
            <w:pPr>
              <w:jc w:val="both"/>
              <w:rPr>
                <w:rFonts w:asciiTheme="majorBidi" w:hAnsiTheme="majorBidi" w:cstheme="majorBidi"/>
                <w:lang w:val="en-GB"/>
              </w:rPr>
            </w:pPr>
            <w:r w:rsidRPr="003A0CB1">
              <w:rPr>
                <w:rFonts w:asciiTheme="majorBidi" w:hAnsiTheme="majorBidi" w:cstheme="majorBidi"/>
                <w:lang w:val="en-GB"/>
              </w:rPr>
              <w:t>Yes, the current legal tender is accepted by the public sector and by the private sector and individuals</w:t>
            </w:r>
          </w:p>
        </w:tc>
      </w:tr>
      <w:tr w:rsidR="00170BAB" w:rsidRPr="005B6D1F" w14:paraId="00AFF843" w14:textId="77777777" w:rsidTr="00D426A8">
        <w:tc>
          <w:tcPr>
            <w:tcW w:w="491" w:type="dxa"/>
            <w:shd w:val="clear" w:color="auto" w:fill="C36E73"/>
          </w:tcPr>
          <w:p w14:paraId="4A85C240" w14:textId="48ACB306" w:rsidR="00170BAB" w:rsidRPr="003A0CB1" w:rsidRDefault="00170BAB" w:rsidP="00170BAB">
            <w:pPr>
              <w:jc w:val="center"/>
              <w:rPr>
                <w:rFonts w:ascii="Segoe UI" w:hAnsi="Segoe UI" w:cs="Segoe UI"/>
                <w:b/>
                <w:bCs/>
                <w:color w:val="FFFFFF" w:themeColor="background1"/>
                <w:lang w:val="en-GB"/>
              </w:rPr>
            </w:pPr>
            <w:r w:rsidRPr="003A0CB1">
              <w:rPr>
                <w:b/>
                <w:bCs/>
                <w:color w:val="FFFFFF" w:themeColor="background1"/>
                <w:lang w:val="en-GB"/>
              </w:rPr>
              <w:t>16</w:t>
            </w:r>
          </w:p>
        </w:tc>
        <w:tc>
          <w:tcPr>
            <w:tcW w:w="2914" w:type="dxa"/>
            <w:shd w:val="clear" w:color="auto" w:fill="auto"/>
          </w:tcPr>
          <w:p w14:paraId="0879F908" w14:textId="176B4F8F" w:rsidR="00170BAB" w:rsidRPr="003A0CB1" w:rsidRDefault="00170BAB" w:rsidP="00170BAB">
            <w:pPr>
              <w:rPr>
                <w:rFonts w:ascii="Segoe UI" w:hAnsi="Segoe UI" w:cs="Segoe UI"/>
                <w:b/>
                <w:bCs/>
                <w:color w:val="80181F"/>
                <w:lang w:val="en-GB"/>
              </w:rPr>
            </w:pPr>
            <w:r w:rsidRPr="003A0CB1">
              <w:rPr>
                <w:rFonts w:ascii="Segoe UI" w:hAnsi="Segoe UI" w:cs="Segoe UI"/>
                <w:b/>
                <w:bCs/>
                <w:color w:val="80181F"/>
                <w:lang w:val="en-GB"/>
              </w:rPr>
              <w:t>In addition to the state/government and related banks (central banks), are there other institutions that can act as PSPs?</w:t>
            </w:r>
          </w:p>
        </w:tc>
        <w:tc>
          <w:tcPr>
            <w:tcW w:w="3848" w:type="dxa"/>
          </w:tcPr>
          <w:p w14:paraId="23D022F6" w14:textId="77777777" w:rsidR="00170BAB" w:rsidRPr="003A0CB1" w:rsidRDefault="00170BAB" w:rsidP="00D426A8">
            <w:pPr>
              <w:jc w:val="both"/>
              <w:rPr>
                <w:rFonts w:asciiTheme="majorBidi" w:hAnsiTheme="majorBidi" w:cstheme="majorBidi"/>
                <w:lang w:val="en-GB"/>
              </w:rPr>
            </w:pPr>
            <w:r w:rsidRPr="003A0CB1">
              <w:rPr>
                <w:rFonts w:asciiTheme="majorBidi" w:hAnsiTheme="majorBidi" w:cstheme="majorBidi"/>
                <w:lang w:val="en-GB"/>
              </w:rPr>
              <w:t xml:space="preserve">All PSPs institutions should be registered and approved by the Central Bank of Jordan (CBJ). </w:t>
            </w:r>
          </w:p>
          <w:p w14:paraId="02D9F2A4" w14:textId="77777777" w:rsidR="00170BAB" w:rsidRPr="003A0CB1" w:rsidRDefault="00170BAB" w:rsidP="00D426A8">
            <w:pPr>
              <w:jc w:val="both"/>
              <w:rPr>
                <w:rFonts w:asciiTheme="majorBidi" w:hAnsiTheme="majorBidi" w:cstheme="majorBidi"/>
                <w:lang w:val="en-GB"/>
              </w:rPr>
            </w:pPr>
          </w:p>
          <w:p w14:paraId="4A534AF9" w14:textId="7E3E24B0" w:rsidR="00170BAB" w:rsidRPr="003A0CB1" w:rsidRDefault="00170BAB" w:rsidP="00D426A8">
            <w:pPr>
              <w:jc w:val="both"/>
              <w:rPr>
                <w:rFonts w:asciiTheme="majorBidi" w:hAnsiTheme="majorBidi" w:cstheme="majorBidi"/>
                <w:lang w:val="en-GB"/>
              </w:rPr>
            </w:pPr>
            <w:r w:rsidRPr="003A0CB1">
              <w:rPr>
                <w:rFonts w:asciiTheme="majorBidi" w:hAnsiTheme="majorBidi" w:cstheme="majorBidi"/>
                <w:lang w:val="en-GB"/>
              </w:rPr>
              <w:t xml:space="preserve">Exchange houses form the largest group of nonbank financial institutions in Jordan. They play a central role in domestic and international payments, supporting trade-related and personal payments. More than 140 exchange houses in Jordan are licensed by CBJ to practice money exchange under the money exchange business law. The majority are family-owned businesses that have developed multiple revenue streams related to the movement of money. Although exchange houses traditionally focus on regional trade and payments, many now collaborate with international money transfer operators (IMTOs) to facilitate </w:t>
            </w:r>
            <w:r w:rsidRPr="003A0CB1">
              <w:rPr>
                <w:rFonts w:asciiTheme="majorBidi" w:hAnsiTheme="majorBidi" w:cstheme="majorBidi"/>
                <w:lang w:val="en-GB"/>
              </w:rPr>
              <w:lastRenderedPageBreak/>
              <w:t xml:space="preserve">international remittances into and out of Jordan. </w:t>
            </w:r>
          </w:p>
        </w:tc>
        <w:tc>
          <w:tcPr>
            <w:tcW w:w="4363" w:type="dxa"/>
          </w:tcPr>
          <w:p w14:paraId="78700C98" w14:textId="77777777" w:rsidR="00170BAB" w:rsidRPr="003A0CB1" w:rsidRDefault="00170BAB" w:rsidP="00D426A8">
            <w:pPr>
              <w:jc w:val="both"/>
              <w:rPr>
                <w:rFonts w:asciiTheme="majorBidi" w:hAnsiTheme="majorBidi" w:cstheme="majorBidi"/>
                <w:lang w:val="en-GB"/>
              </w:rPr>
            </w:pPr>
          </w:p>
        </w:tc>
        <w:tc>
          <w:tcPr>
            <w:tcW w:w="2559" w:type="dxa"/>
          </w:tcPr>
          <w:p w14:paraId="7DA010C3" w14:textId="77777777" w:rsidR="00170BAB" w:rsidRPr="003A0CB1" w:rsidRDefault="00170BAB" w:rsidP="00D426A8">
            <w:pPr>
              <w:jc w:val="both"/>
              <w:rPr>
                <w:rFonts w:asciiTheme="majorBidi" w:hAnsiTheme="majorBidi" w:cstheme="majorBidi"/>
                <w:lang w:val="en-GB"/>
              </w:rPr>
            </w:pPr>
          </w:p>
        </w:tc>
      </w:tr>
      <w:tr w:rsidR="00170BAB" w:rsidRPr="005B6D1F" w14:paraId="4D3A39EE" w14:textId="77777777" w:rsidTr="00D426A8">
        <w:tc>
          <w:tcPr>
            <w:tcW w:w="491" w:type="dxa"/>
            <w:shd w:val="clear" w:color="auto" w:fill="C36E73"/>
          </w:tcPr>
          <w:p w14:paraId="79D3D9B5" w14:textId="7BC00346" w:rsidR="00170BAB" w:rsidRPr="003A0CB1" w:rsidRDefault="00170BAB" w:rsidP="00170BAB">
            <w:pPr>
              <w:jc w:val="center"/>
              <w:rPr>
                <w:rFonts w:ascii="Segoe UI" w:hAnsi="Segoe UI" w:cs="Segoe UI"/>
                <w:b/>
                <w:bCs/>
                <w:color w:val="FFFFFF" w:themeColor="background1"/>
                <w:lang w:val="en-GB"/>
              </w:rPr>
            </w:pPr>
            <w:r w:rsidRPr="003A0CB1">
              <w:rPr>
                <w:b/>
                <w:bCs/>
                <w:color w:val="FFFFFF" w:themeColor="background1"/>
                <w:lang w:val="en-GB"/>
              </w:rPr>
              <w:t>17</w:t>
            </w:r>
          </w:p>
        </w:tc>
        <w:tc>
          <w:tcPr>
            <w:tcW w:w="2914" w:type="dxa"/>
            <w:shd w:val="clear" w:color="auto" w:fill="auto"/>
          </w:tcPr>
          <w:p w14:paraId="4F53FDE0" w14:textId="18969834" w:rsidR="00170BAB" w:rsidRPr="003A0CB1" w:rsidRDefault="00170BAB" w:rsidP="00170BAB">
            <w:pPr>
              <w:rPr>
                <w:rFonts w:ascii="Segoe UI" w:hAnsi="Segoe UI" w:cs="Segoe UI"/>
                <w:b/>
                <w:bCs/>
                <w:color w:val="80181F"/>
                <w:lang w:val="en-GB"/>
              </w:rPr>
            </w:pPr>
            <w:r w:rsidRPr="003A0CB1">
              <w:rPr>
                <w:rFonts w:ascii="Segoe UI" w:hAnsi="Segoe UI" w:cs="Segoe UI"/>
                <w:b/>
                <w:bCs/>
                <w:color w:val="80181F"/>
                <w:lang w:val="en-GB"/>
              </w:rPr>
              <w:t>Is there any legal security (insurance) coverage to support e-money and PSP related to SSE?</w:t>
            </w:r>
          </w:p>
        </w:tc>
        <w:tc>
          <w:tcPr>
            <w:tcW w:w="3848" w:type="dxa"/>
          </w:tcPr>
          <w:p w14:paraId="0C87CA3C" w14:textId="77777777" w:rsidR="00170BAB" w:rsidRPr="003A0CB1" w:rsidRDefault="00170BAB" w:rsidP="00D426A8">
            <w:pPr>
              <w:jc w:val="both"/>
              <w:rPr>
                <w:rFonts w:asciiTheme="majorBidi" w:hAnsiTheme="majorBidi" w:cstheme="majorBidi"/>
                <w:lang w:val="en-GB"/>
              </w:rPr>
            </w:pPr>
            <w:r w:rsidRPr="003A0CB1">
              <w:rPr>
                <w:rFonts w:asciiTheme="majorBidi" w:hAnsiTheme="majorBidi" w:cstheme="majorBidi"/>
                <w:lang w:val="en-GB"/>
              </w:rPr>
              <w:t xml:space="preserve">Risks presented when e-money is issued against funds stored in a pooled account held on behalf of customers need to be effectively mitigated, as with traditional sight deposits. Risks include the risk of misuse or loss of consumer funds, the risk of the PSP becoming insolvent, and the risk of the financial institution holding the underlying funds facing bankruptcy. Financial authorities are paying more attention to these risks globally and are working to ensure a regulatory environment where risks are mitigated and funds held on behalf of customers are always safeguarded (PAFI report, p. 26). </w:t>
            </w:r>
          </w:p>
          <w:p w14:paraId="643F48D3" w14:textId="526BCC41" w:rsidR="00170BAB" w:rsidRPr="003A0CB1" w:rsidRDefault="00170BAB" w:rsidP="00D426A8">
            <w:pPr>
              <w:jc w:val="both"/>
              <w:rPr>
                <w:rFonts w:asciiTheme="majorBidi" w:hAnsiTheme="majorBidi" w:cstheme="majorBidi"/>
                <w:lang w:val="en-GB"/>
              </w:rPr>
            </w:pPr>
          </w:p>
        </w:tc>
        <w:tc>
          <w:tcPr>
            <w:tcW w:w="4363" w:type="dxa"/>
          </w:tcPr>
          <w:p w14:paraId="6AD9A74F" w14:textId="5066137F" w:rsidR="00170BAB" w:rsidRPr="003A0CB1" w:rsidRDefault="00170BAB" w:rsidP="00D426A8">
            <w:pPr>
              <w:jc w:val="both"/>
              <w:rPr>
                <w:rFonts w:asciiTheme="majorBidi" w:hAnsiTheme="majorBidi" w:cstheme="majorBidi"/>
                <w:lang w:val="en-GB"/>
              </w:rPr>
            </w:pPr>
            <w:r w:rsidRPr="003A0CB1">
              <w:rPr>
                <w:rFonts w:asciiTheme="majorBidi" w:hAnsiTheme="majorBidi" w:cstheme="majorBidi"/>
                <w:lang w:val="en-GB"/>
              </w:rPr>
              <w:t xml:space="preserve">all MPSPs (whether a bank or nonbank) must place a cash deposit of 100 percent of the amount of e-money it plans to issue in a settlement account held in escrow at a licensed bank. Nonbank MPSPs were previously also required to submit to CBJ an irrevocable and unconditional bank guarantee for the amount of e-money they planned to issue. This was intended to ensure customer funds were protected in the case of MPSP insolvency. However, newly released CBJ instructions cancelled this requirement. This was possible due to the latest changes in Article (50) of the CBJ Law, which instructed that customer funds are automatically protected from creditors when the funds are placed in escrow at the settlement account. The additional safeguard of a bank guarantee is therefore no longer required. However, the settlement account will still be at risk if the settlement bank fails. Although Jordan has a deposit protection scheme—the Jordan Deposit Insurance Corporation (JODIC)—the funds held in the settlement account are treated as a single account for insurance. Thus, individual consumer funds held in mobile wallets are not fully protected once the overall settlement account value becomes larger than the amount insured (JOD 50,000 [US$70,000]). To mitigate this risk, regulations should specify that customer funds be pooled in multiple accounts with multiple settlement banks, spreading </w:t>
            </w:r>
            <w:r w:rsidRPr="003A0CB1">
              <w:rPr>
                <w:rFonts w:asciiTheme="majorBidi" w:hAnsiTheme="majorBidi" w:cstheme="majorBidi"/>
                <w:lang w:val="en-GB"/>
              </w:rPr>
              <w:lastRenderedPageBreak/>
              <w:t>MPSPs’ (and ultimately the consumer’s) exposure in the event of bank failure. CBJ is also amending the rules that apply to the deposit protection scheme to extend the deposit protection to individual account balances held within in a pooled account up to JOD 50,000 per wallet. This process should be supported because it would help to safeguard customer funds in the event of bank failure.</w:t>
            </w:r>
          </w:p>
        </w:tc>
        <w:tc>
          <w:tcPr>
            <w:tcW w:w="2559" w:type="dxa"/>
          </w:tcPr>
          <w:p w14:paraId="3AF467AD" w14:textId="77777777" w:rsidR="00170BAB" w:rsidRPr="003A0CB1" w:rsidRDefault="00170BAB" w:rsidP="00D426A8">
            <w:pPr>
              <w:jc w:val="both"/>
              <w:rPr>
                <w:rFonts w:asciiTheme="majorBidi" w:hAnsiTheme="majorBidi" w:cstheme="majorBidi"/>
                <w:lang w:val="en-GB"/>
              </w:rPr>
            </w:pPr>
          </w:p>
        </w:tc>
      </w:tr>
      <w:tr w:rsidR="00170BAB" w:rsidRPr="005B6D1F" w14:paraId="723E535E" w14:textId="77777777" w:rsidTr="00D426A8">
        <w:tc>
          <w:tcPr>
            <w:tcW w:w="491" w:type="dxa"/>
            <w:shd w:val="clear" w:color="auto" w:fill="C36E73"/>
          </w:tcPr>
          <w:p w14:paraId="4DCD3062" w14:textId="6A16143C" w:rsidR="00170BAB" w:rsidRPr="003A0CB1" w:rsidRDefault="00170BAB" w:rsidP="00170BAB">
            <w:pPr>
              <w:jc w:val="center"/>
              <w:rPr>
                <w:rFonts w:ascii="Segoe UI" w:hAnsi="Segoe UI" w:cs="Segoe UI"/>
                <w:b/>
                <w:bCs/>
                <w:color w:val="FFFFFF" w:themeColor="background1"/>
                <w:lang w:val="en-GB"/>
              </w:rPr>
            </w:pPr>
            <w:r w:rsidRPr="003A0CB1">
              <w:rPr>
                <w:b/>
                <w:bCs/>
                <w:color w:val="FFFFFF" w:themeColor="background1"/>
                <w:lang w:val="en-GB"/>
              </w:rPr>
              <w:t>18</w:t>
            </w:r>
          </w:p>
        </w:tc>
        <w:tc>
          <w:tcPr>
            <w:tcW w:w="2914" w:type="dxa"/>
            <w:shd w:val="clear" w:color="auto" w:fill="auto"/>
          </w:tcPr>
          <w:p w14:paraId="53C60009" w14:textId="34CD25BD" w:rsidR="00170BAB" w:rsidRPr="003A0CB1" w:rsidRDefault="00170BAB" w:rsidP="00170BAB">
            <w:pPr>
              <w:rPr>
                <w:rFonts w:ascii="Segoe UI" w:hAnsi="Segoe UI" w:cs="Segoe UI"/>
                <w:b/>
                <w:bCs/>
                <w:color w:val="80181F"/>
                <w:lang w:val="en-GB"/>
              </w:rPr>
            </w:pPr>
            <w:r w:rsidRPr="003A0CB1">
              <w:rPr>
                <w:rFonts w:ascii="Segoe UI" w:hAnsi="Segoe UI" w:cs="Segoe UI"/>
                <w:b/>
                <w:bCs/>
                <w:color w:val="80181F"/>
                <w:lang w:val="en-GB"/>
              </w:rPr>
              <w:t>Is there an inventory, ledger or similar document that records and preserves the transactions carried out by the PSP?</w:t>
            </w:r>
          </w:p>
        </w:tc>
        <w:tc>
          <w:tcPr>
            <w:tcW w:w="3848" w:type="dxa"/>
          </w:tcPr>
          <w:p w14:paraId="6DFC2A57" w14:textId="2BF6AF91" w:rsidR="00170BAB" w:rsidRPr="003A0CB1" w:rsidRDefault="00170BAB" w:rsidP="00D426A8">
            <w:pPr>
              <w:jc w:val="both"/>
              <w:rPr>
                <w:rFonts w:asciiTheme="majorBidi" w:hAnsiTheme="majorBidi" w:cstheme="majorBidi"/>
                <w:lang w:val="en-GB"/>
              </w:rPr>
            </w:pPr>
            <w:r w:rsidRPr="003A0CB1">
              <w:rPr>
                <w:rFonts w:asciiTheme="majorBidi" w:hAnsiTheme="majorBidi" w:cstheme="majorBidi"/>
                <w:lang w:val="en-GB"/>
              </w:rPr>
              <w:t>Credit analysis for Medium and Small Enterprises (MSEs) represents a significant barrier to financial inclusion as a result of both supply-side and demand-side factors. Unless MFIs are using the graduated lending approach, they are typically expending considerable time and effort to produce financial statements on behalf of clients using whatever information is available.</w:t>
            </w:r>
          </w:p>
        </w:tc>
        <w:tc>
          <w:tcPr>
            <w:tcW w:w="4363" w:type="dxa"/>
          </w:tcPr>
          <w:p w14:paraId="7DF139F9" w14:textId="4CC74D6B" w:rsidR="00170BAB" w:rsidRPr="003A0CB1" w:rsidRDefault="00170BAB" w:rsidP="00D426A8">
            <w:pPr>
              <w:jc w:val="both"/>
              <w:rPr>
                <w:rFonts w:asciiTheme="majorBidi" w:hAnsiTheme="majorBidi" w:cstheme="majorBidi"/>
                <w:lang w:val="en-GB"/>
              </w:rPr>
            </w:pPr>
            <w:r w:rsidRPr="003A0CB1">
              <w:rPr>
                <w:rFonts w:asciiTheme="majorBidi" w:hAnsiTheme="majorBidi" w:cstheme="majorBidi"/>
                <w:lang w:val="en-GB"/>
              </w:rPr>
              <w:t>It is rare for Mobile Financial Institutions (MFI) clients to maintain standardized financial records; at best, MFIs can hope for some partial records of sales or inventories kept in notebooks that can be used as a basis for making calculations. Frequently, MFI staff are simply interviewing the applicants and relying on their memory and honesty to obtain the necessary data.</w:t>
            </w:r>
          </w:p>
        </w:tc>
        <w:tc>
          <w:tcPr>
            <w:tcW w:w="2559" w:type="dxa"/>
          </w:tcPr>
          <w:p w14:paraId="2A49F4BA" w14:textId="77777777" w:rsidR="00170BAB" w:rsidRPr="003A0CB1" w:rsidRDefault="00170BAB" w:rsidP="00D426A8">
            <w:pPr>
              <w:jc w:val="both"/>
              <w:rPr>
                <w:rFonts w:asciiTheme="majorBidi" w:hAnsiTheme="majorBidi" w:cstheme="majorBidi"/>
                <w:lang w:val="en-GB"/>
              </w:rPr>
            </w:pPr>
          </w:p>
        </w:tc>
      </w:tr>
      <w:tr w:rsidR="00170BAB" w:rsidRPr="005B6D1F" w14:paraId="4682C2AC" w14:textId="77777777" w:rsidTr="00D426A8">
        <w:tc>
          <w:tcPr>
            <w:tcW w:w="491" w:type="dxa"/>
            <w:shd w:val="clear" w:color="auto" w:fill="C36E73"/>
          </w:tcPr>
          <w:p w14:paraId="5C112825" w14:textId="4ACA8FEA" w:rsidR="00170BAB" w:rsidRPr="003A0CB1" w:rsidRDefault="00170BAB" w:rsidP="00170BAB">
            <w:pPr>
              <w:jc w:val="center"/>
              <w:rPr>
                <w:b/>
                <w:bCs/>
                <w:color w:val="FFFFFF" w:themeColor="background1"/>
                <w:lang w:val="en-GB"/>
              </w:rPr>
            </w:pPr>
            <w:r w:rsidRPr="003A0CB1">
              <w:rPr>
                <w:b/>
                <w:bCs/>
                <w:color w:val="FFFFFF" w:themeColor="background1"/>
                <w:lang w:val="en-GB"/>
              </w:rPr>
              <w:t>19</w:t>
            </w:r>
          </w:p>
        </w:tc>
        <w:tc>
          <w:tcPr>
            <w:tcW w:w="2914" w:type="dxa"/>
            <w:shd w:val="clear" w:color="auto" w:fill="auto"/>
          </w:tcPr>
          <w:p w14:paraId="193DFBF8" w14:textId="0D8A0409" w:rsidR="00170BAB" w:rsidRPr="003A0CB1" w:rsidRDefault="00170BAB" w:rsidP="00170BAB">
            <w:pPr>
              <w:rPr>
                <w:rFonts w:ascii="Segoe UI" w:hAnsi="Segoe UI" w:cs="Segoe UI"/>
                <w:b/>
                <w:bCs/>
                <w:color w:val="80181F"/>
                <w:lang w:val="en-GB"/>
              </w:rPr>
            </w:pPr>
            <w:r w:rsidRPr="003A0CB1">
              <w:rPr>
                <w:rFonts w:ascii="Segoe UI" w:hAnsi="Segoe UI" w:cs="Segoe UI"/>
                <w:b/>
                <w:bCs/>
                <w:color w:val="80181F"/>
                <w:lang w:val="en-GB"/>
              </w:rPr>
              <w:t>Are services paid for through EM and PSP subject to VAT, social security or other similar taxes and charges?</w:t>
            </w:r>
          </w:p>
        </w:tc>
        <w:tc>
          <w:tcPr>
            <w:tcW w:w="3848" w:type="dxa"/>
          </w:tcPr>
          <w:p w14:paraId="559301AB" w14:textId="77777777" w:rsidR="00170BAB" w:rsidRPr="003A0CB1" w:rsidRDefault="00170BAB" w:rsidP="00D426A8">
            <w:pPr>
              <w:jc w:val="both"/>
              <w:rPr>
                <w:rFonts w:asciiTheme="majorBidi" w:hAnsiTheme="majorBidi" w:cstheme="majorBidi"/>
                <w:lang w:val="en-GB"/>
              </w:rPr>
            </w:pPr>
            <w:r w:rsidRPr="003A0CB1">
              <w:rPr>
                <w:rFonts w:asciiTheme="majorBidi" w:hAnsiTheme="majorBidi" w:cstheme="majorBidi"/>
                <w:lang w:val="en-GB"/>
              </w:rPr>
              <w:t xml:space="preserve">Key regulatory issues that impact financial inclusion in relation to payments are the maximum amounts for e-wallet transactions, the unclear tax regime for PSPs, and the minimal capital requirements for PSPs. The limits for P2P mobile wallet transactions (JOD 200 for banked clients and JOD 100 for unbanked clients) are significantly lower than the typical size of an incoming foreign remittance transfer (JOD 800 – 4,000). However, the CBJ anticipates raising these </w:t>
            </w:r>
            <w:r w:rsidRPr="003A0CB1">
              <w:rPr>
                <w:rFonts w:asciiTheme="majorBidi" w:hAnsiTheme="majorBidi" w:cstheme="majorBidi"/>
                <w:lang w:val="en-GB"/>
              </w:rPr>
              <w:lastRenderedPageBreak/>
              <w:t xml:space="preserve">limits over time as the relatively new system matures. </w:t>
            </w:r>
          </w:p>
          <w:p w14:paraId="79F81B7A" w14:textId="03B3D1DE" w:rsidR="00170BAB" w:rsidRPr="003A0CB1" w:rsidRDefault="00170BAB" w:rsidP="00D426A8">
            <w:pPr>
              <w:jc w:val="both"/>
              <w:rPr>
                <w:rFonts w:asciiTheme="majorBidi" w:hAnsiTheme="majorBidi" w:cstheme="majorBidi"/>
                <w:lang w:val="en-GB"/>
              </w:rPr>
            </w:pPr>
            <w:r w:rsidRPr="003A0CB1">
              <w:rPr>
                <w:rFonts w:asciiTheme="majorBidi" w:hAnsiTheme="majorBidi" w:cstheme="majorBidi"/>
                <w:lang w:val="en-GB"/>
              </w:rPr>
              <w:t>The minimum capital requirements for PSPs of JOD 1.5 million are relatively high when compared with other countries, such as in the European Economic Area, where the requirements are roughly a quarter of the level in Jordan. Although the goal of the minimum capital requirements – stability and high service quality – are good ones, the result may nevertheless be limiting the supply of services by excluding smaller entrants. Payment service providers (i.e. mobile wallet firms) lack clarity on the level of taxes that they are subject to, as there are different rates for FinTech firms and financial service providers. There is also a question on whether they are exempt from sales tax (like banking services). Despite the concerns described above, a large number of regulations have been passed in recent years concerning payments and digital financial services that, to the credit of the Jordanian government, are of a very high overall quality and are conducive to the growth of financial inclusion.</w:t>
            </w:r>
          </w:p>
        </w:tc>
        <w:tc>
          <w:tcPr>
            <w:tcW w:w="4363" w:type="dxa"/>
          </w:tcPr>
          <w:p w14:paraId="3E4314FA" w14:textId="3D1D509E" w:rsidR="00170BAB" w:rsidRPr="003A0CB1" w:rsidRDefault="00170BAB" w:rsidP="00D426A8">
            <w:pPr>
              <w:jc w:val="both"/>
              <w:rPr>
                <w:rFonts w:asciiTheme="majorBidi" w:hAnsiTheme="majorBidi" w:cstheme="majorBidi"/>
                <w:lang w:val="en-GB"/>
              </w:rPr>
            </w:pPr>
          </w:p>
        </w:tc>
        <w:tc>
          <w:tcPr>
            <w:tcW w:w="2559" w:type="dxa"/>
          </w:tcPr>
          <w:p w14:paraId="2E8885D3" w14:textId="77777777" w:rsidR="00170BAB" w:rsidRPr="003A0CB1" w:rsidRDefault="00170BAB" w:rsidP="00D426A8">
            <w:pPr>
              <w:jc w:val="both"/>
              <w:rPr>
                <w:rFonts w:asciiTheme="majorBidi" w:hAnsiTheme="majorBidi" w:cstheme="majorBidi"/>
                <w:lang w:val="en-GB"/>
              </w:rPr>
            </w:pPr>
          </w:p>
        </w:tc>
      </w:tr>
      <w:tr w:rsidR="00170BAB" w:rsidRPr="005B6D1F" w14:paraId="2864C77F" w14:textId="77777777" w:rsidTr="00D426A8">
        <w:tc>
          <w:tcPr>
            <w:tcW w:w="491" w:type="dxa"/>
            <w:shd w:val="clear" w:color="auto" w:fill="C36E73"/>
          </w:tcPr>
          <w:p w14:paraId="21732437" w14:textId="0568D95A" w:rsidR="00170BAB" w:rsidRPr="003A0CB1" w:rsidRDefault="00170BAB" w:rsidP="00170BAB">
            <w:pPr>
              <w:jc w:val="center"/>
              <w:rPr>
                <w:b/>
                <w:bCs/>
                <w:color w:val="FFFFFF" w:themeColor="background1"/>
                <w:lang w:val="en-GB"/>
              </w:rPr>
            </w:pPr>
            <w:r w:rsidRPr="003A0CB1">
              <w:rPr>
                <w:b/>
                <w:bCs/>
                <w:color w:val="FFFFFF" w:themeColor="background1"/>
                <w:lang w:val="en-GB"/>
              </w:rPr>
              <w:t>20</w:t>
            </w:r>
          </w:p>
        </w:tc>
        <w:tc>
          <w:tcPr>
            <w:tcW w:w="2914" w:type="dxa"/>
            <w:shd w:val="clear" w:color="auto" w:fill="auto"/>
          </w:tcPr>
          <w:p w14:paraId="594122C0" w14:textId="636F6F7A" w:rsidR="00170BAB" w:rsidRPr="003A0CB1" w:rsidRDefault="00170BAB" w:rsidP="00170BAB">
            <w:pPr>
              <w:rPr>
                <w:rFonts w:ascii="Segoe UI" w:hAnsi="Segoe UI" w:cs="Segoe UI"/>
                <w:b/>
                <w:bCs/>
                <w:color w:val="80181F"/>
                <w:lang w:val="en-GB"/>
              </w:rPr>
            </w:pPr>
            <w:r w:rsidRPr="003A0CB1">
              <w:rPr>
                <w:rFonts w:ascii="Segoe UI" w:hAnsi="Segoe UI" w:cs="Segoe UI"/>
                <w:b/>
                <w:bCs/>
                <w:color w:val="80181F"/>
                <w:lang w:val="en-GB"/>
              </w:rPr>
              <w:t>Is there any kind of legal security (insurance) coverage to support the use of e-money and PSP and related to SSE?</w:t>
            </w:r>
          </w:p>
        </w:tc>
        <w:tc>
          <w:tcPr>
            <w:tcW w:w="3848" w:type="dxa"/>
          </w:tcPr>
          <w:p w14:paraId="39778BAE" w14:textId="77777777" w:rsidR="00170BAB" w:rsidRPr="003A0CB1" w:rsidRDefault="00170BAB" w:rsidP="00D426A8">
            <w:pPr>
              <w:jc w:val="both"/>
              <w:rPr>
                <w:rFonts w:asciiTheme="majorBidi" w:hAnsiTheme="majorBidi" w:cstheme="majorBidi"/>
                <w:lang w:val="en-GB"/>
              </w:rPr>
            </w:pPr>
            <w:r w:rsidRPr="003A0CB1">
              <w:rPr>
                <w:rFonts w:asciiTheme="majorBidi" w:hAnsiTheme="majorBidi" w:cstheme="majorBidi"/>
                <w:lang w:val="en-GB"/>
              </w:rPr>
              <w:t>In principle, CBJ guarantee that as per the law.</w:t>
            </w:r>
          </w:p>
          <w:p w14:paraId="3A365666" w14:textId="77777777" w:rsidR="00170BAB" w:rsidRPr="003A0CB1" w:rsidRDefault="00170BAB" w:rsidP="00D426A8">
            <w:pPr>
              <w:jc w:val="both"/>
              <w:rPr>
                <w:rFonts w:asciiTheme="majorBidi" w:hAnsiTheme="majorBidi" w:cstheme="majorBidi"/>
                <w:lang w:val="en-GB"/>
              </w:rPr>
            </w:pPr>
          </w:p>
          <w:p w14:paraId="519D513C" w14:textId="77777777" w:rsidR="00170BAB" w:rsidRPr="003A0CB1" w:rsidRDefault="00170BAB" w:rsidP="00D426A8">
            <w:pPr>
              <w:jc w:val="both"/>
              <w:rPr>
                <w:rFonts w:asciiTheme="majorBidi" w:hAnsiTheme="majorBidi" w:cstheme="majorBidi"/>
                <w:lang w:val="en-GB"/>
              </w:rPr>
            </w:pPr>
            <w:r w:rsidRPr="003A0CB1">
              <w:rPr>
                <w:rFonts w:asciiTheme="majorBidi" w:hAnsiTheme="majorBidi" w:cstheme="majorBidi"/>
                <w:lang w:val="en-GB"/>
              </w:rPr>
              <w:t xml:space="preserve">Risk of consumers losing funds if their bank failures. As noted, there are no provisions to ensure individual funds held </w:t>
            </w:r>
            <w:r w:rsidRPr="003A0CB1">
              <w:rPr>
                <w:rFonts w:asciiTheme="majorBidi" w:hAnsiTheme="majorBidi" w:cstheme="majorBidi"/>
                <w:lang w:val="en-GB"/>
              </w:rPr>
              <w:lastRenderedPageBreak/>
              <w:t>in mobile wallets are protected in the event of bank failure. However, Central Bank of Jordan (CBJ) is working to mitigate this risk. CBJ plans to release consumer protection by-laws that will address many of these issues. It is also in the process of establishing a dedicated department for consumer protection.</w:t>
            </w:r>
          </w:p>
          <w:p w14:paraId="1B423DE5" w14:textId="77777777" w:rsidR="00170BAB" w:rsidRPr="003A0CB1" w:rsidRDefault="00170BAB" w:rsidP="00D426A8">
            <w:pPr>
              <w:jc w:val="both"/>
              <w:rPr>
                <w:rFonts w:asciiTheme="majorBidi" w:hAnsiTheme="majorBidi" w:cstheme="majorBidi"/>
                <w:lang w:val="en-GB"/>
              </w:rPr>
            </w:pPr>
          </w:p>
          <w:p w14:paraId="32DF189C" w14:textId="574D3E86" w:rsidR="00170BAB" w:rsidRPr="003A0CB1" w:rsidRDefault="00170BAB" w:rsidP="00D426A8">
            <w:pPr>
              <w:jc w:val="both"/>
              <w:rPr>
                <w:rFonts w:asciiTheme="majorBidi" w:hAnsiTheme="majorBidi" w:cstheme="majorBidi"/>
                <w:lang w:val="en-GB"/>
              </w:rPr>
            </w:pPr>
            <w:r w:rsidRPr="003A0CB1">
              <w:rPr>
                <w:rFonts w:asciiTheme="majorBidi" w:hAnsiTheme="majorBidi" w:cstheme="majorBidi"/>
                <w:lang w:val="en-GB"/>
              </w:rPr>
              <w:t>There is no general legislation relating to consumer protection in Jordan and no specific financial consumer protection regulations. Customers who hold bank accounts are covered by the 2012 Instructions on Dealing with Customers Fairly and Transparently (no.56/2012), which mandates activities such as transparency of fees and interest rates, disclosure of terms and agreements before the client enters into a relationship with the bank, and the establishment of a consumer complaints procedure. Articles (73), (74), and (75) of the Banking Law (no.28/2000) provides for data protection and privacy. However, MPSP clients who use Mobile Financial Services (MFS) in Jordan are not covered by these regulations.</w:t>
            </w:r>
          </w:p>
        </w:tc>
        <w:tc>
          <w:tcPr>
            <w:tcW w:w="4363" w:type="dxa"/>
          </w:tcPr>
          <w:p w14:paraId="319CB889" w14:textId="77777777" w:rsidR="00170BAB" w:rsidRPr="003A0CB1" w:rsidRDefault="00170BAB" w:rsidP="00D426A8">
            <w:pPr>
              <w:jc w:val="both"/>
              <w:rPr>
                <w:rFonts w:asciiTheme="majorBidi" w:hAnsiTheme="majorBidi" w:cstheme="majorBidi"/>
                <w:lang w:val="en-GB"/>
              </w:rPr>
            </w:pPr>
            <w:r w:rsidRPr="003A0CB1">
              <w:rPr>
                <w:rFonts w:asciiTheme="majorBidi" w:hAnsiTheme="majorBidi" w:cstheme="majorBidi"/>
                <w:lang w:val="en-GB"/>
              </w:rPr>
              <w:lastRenderedPageBreak/>
              <w:t xml:space="preserve">Overall, the regulatory environment for issuing e-money in Jordan is sound. The recent amendment to the CBJ law (article 50) and the issuance of the 2017 instructions requiring settlement accounts to be held in escrow and the subsequent cancelling of the bank guarantee </w:t>
            </w:r>
            <w:r w:rsidRPr="003A0CB1">
              <w:rPr>
                <w:rFonts w:asciiTheme="majorBidi" w:hAnsiTheme="majorBidi" w:cstheme="majorBidi"/>
                <w:lang w:val="en-GB"/>
              </w:rPr>
              <w:lastRenderedPageBreak/>
              <w:t>mean that protection of customer funds is proportionate and robust. However, there remains some risk to the safety of consumer funds in the event of bank failure, given the scope of the country’s deposit protection scheme and the lack of settlement account diversification rules.</w:t>
            </w:r>
          </w:p>
          <w:p w14:paraId="33BFF1FD" w14:textId="6460358F" w:rsidR="00170BAB" w:rsidRPr="003A0CB1" w:rsidRDefault="00170BAB" w:rsidP="00D426A8">
            <w:pPr>
              <w:jc w:val="both"/>
              <w:rPr>
                <w:rFonts w:asciiTheme="majorBidi" w:hAnsiTheme="majorBidi" w:cstheme="majorBidi"/>
                <w:lang w:val="en-GB"/>
              </w:rPr>
            </w:pPr>
            <w:r w:rsidRPr="003A0CB1">
              <w:rPr>
                <w:rFonts w:asciiTheme="majorBidi" w:hAnsiTheme="majorBidi" w:cstheme="majorBidi"/>
                <w:lang w:val="en-GB"/>
              </w:rPr>
              <w:t>Consumer protection and transparency present big challenges, and adherence to international standards of consumer protection is very important, particularly for lower-income groups that have low levels of financial literacy. While CBJ has identified consumer protection as an area that requires attention, effective legislation must be developed in the short term to ensure that consumers are protected as soon as possible. It also is important to recognize that consumer protection is a broader issue throughout Jordan and that it is not limited to e-money issuance or payments services. As the sector continues to grow and use increases, it will be important to ensure robust ongoing oversight of the sector, and CBJ must continue to foster an environment of open dialogue and consultation with industry and SSE players.</w:t>
            </w:r>
          </w:p>
        </w:tc>
        <w:tc>
          <w:tcPr>
            <w:tcW w:w="2559" w:type="dxa"/>
          </w:tcPr>
          <w:p w14:paraId="65B33E2A" w14:textId="77777777" w:rsidR="00170BAB" w:rsidRPr="003A0CB1" w:rsidRDefault="00170BAB" w:rsidP="00D426A8">
            <w:pPr>
              <w:jc w:val="both"/>
              <w:rPr>
                <w:rFonts w:asciiTheme="majorBidi" w:hAnsiTheme="majorBidi" w:cstheme="majorBidi"/>
                <w:lang w:val="en-GB"/>
              </w:rPr>
            </w:pPr>
          </w:p>
        </w:tc>
      </w:tr>
      <w:tr w:rsidR="00170BAB" w:rsidRPr="005B6D1F" w14:paraId="10CA9A2F" w14:textId="77777777" w:rsidTr="00D426A8">
        <w:tc>
          <w:tcPr>
            <w:tcW w:w="491" w:type="dxa"/>
            <w:shd w:val="clear" w:color="auto" w:fill="C36E73"/>
          </w:tcPr>
          <w:p w14:paraId="21A233E6" w14:textId="4789BDAA" w:rsidR="00170BAB" w:rsidRPr="003A0CB1" w:rsidRDefault="00170BAB" w:rsidP="00170BAB">
            <w:pPr>
              <w:jc w:val="center"/>
              <w:rPr>
                <w:b/>
                <w:bCs/>
                <w:color w:val="FFFFFF" w:themeColor="background1"/>
                <w:lang w:val="en-GB"/>
              </w:rPr>
            </w:pPr>
            <w:r w:rsidRPr="003A0CB1">
              <w:rPr>
                <w:b/>
                <w:bCs/>
                <w:color w:val="FFFFFF" w:themeColor="background1"/>
                <w:lang w:val="en-GB"/>
              </w:rPr>
              <w:t>21</w:t>
            </w:r>
          </w:p>
        </w:tc>
        <w:tc>
          <w:tcPr>
            <w:tcW w:w="2914" w:type="dxa"/>
            <w:shd w:val="clear" w:color="auto" w:fill="auto"/>
          </w:tcPr>
          <w:p w14:paraId="66ADB2A1" w14:textId="0A3DEC44" w:rsidR="00170BAB" w:rsidRPr="003A0CB1" w:rsidRDefault="00170BAB" w:rsidP="00170BAB">
            <w:pPr>
              <w:rPr>
                <w:rFonts w:ascii="Segoe UI" w:hAnsi="Segoe UI" w:cs="Segoe UI"/>
                <w:b/>
                <w:bCs/>
                <w:color w:val="80181F"/>
                <w:lang w:val="en-GB"/>
              </w:rPr>
            </w:pPr>
            <w:r w:rsidRPr="003A0CB1">
              <w:rPr>
                <w:rFonts w:ascii="Segoe UI" w:hAnsi="Segoe UI" w:cs="Segoe UI"/>
                <w:b/>
                <w:bCs/>
                <w:color w:val="80181F"/>
                <w:lang w:val="en-GB"/>
              </w:rPr>
              <w:t>Personal Data Protection, Health and Safety: do e-money and PSP issuers cover these legal aspects vis-à-vis users?</w:t>
            </w:r>
          </w:p>
        </w:tc>
        <w:tc>
          <w:tcPr>
            <w:tcW w:w="3848" w:type="dxa"/>
          </w:tcPr>
          <w:p w14:paraId="30AAAD8B" w14:textId="2CB8E3E1" w:rsidR="00170BAB" w:rsidRPr="003A0CB1" w:rsidRDefault="00170BAB" w:rsidP="00D426A8">
            <w:pPr>
              <w:jc w:val="both"/>
              <w:rPr>
                <w:rFonts w:asciiTheme="majorBidi" w:hAnsiTheme="majorBidi" w:cstheme="majorBidi"/>
                <w:lang w:val="en-GB"/>
              </w:rPr>
            </w:pPr>
            <w:r w:rsidRPr="003A0CB1">
              <w:rPr>
                <w:rFonts w:asciiTheme="majorBidi" w:hAnsiTheme="majorBidi" w:cstheme="majorBidi"/>
                <w:lang w:val="en-GB"/>
              </w:rPr>
              <w:t xml:space="preserve">While the consumer protection regulations for the banking sector were updated in 2012, until recently this was a gap for the DFS sector. In April 2017 CBJ addressed this by introducing “Instructions on the Protection of Personal Data of the Clients </w:t>
            </w:r>
            <w:r w:rsidRPr="003A0CB1">
              <w:rPr>
                <w:rFonts w:asciiTheme="majorBidi" w:hAnsiTheme="majorBidi" w:cstheme="majorBidi"/>
                <w:lang w:val="en-GB"/>
              </w:rPr>
              <w:lastRenderedPageBreak/>
              <w:t>of Payment Services and Electronic Transfer of Funds”. In June 2017 another document was issue on the “Regulations of financial Consumer Protection and Mechanism to Handle Complaints for the Jordan Mobile Payment (</w:t>
            </w:r>
            <w:proofErr w:type="spellStart"/>
            <w:r w:rsidRPr="003A0CB1">
              <w:rPr>
                <w:rFonts w:asciiTheme="majorBidi" w:hAnsiTheme="majorBidi" w:cstheme="majorBidi"/>
                <w:lang w:val="en-GB"/>
              </w:rPr>
              <w:t>JoMoPay</w:t>
            </w:r>
            <w:proofErr w:type="spellEnd"/>
            <w:r w:rsidRPr="003A0CB1">
              <w:rPr>
                <w:rFonts w:asciiTheme="majorBidi" w:hAnsiTheme="majorBidi" w:cstheme="majorBidi"/>
                <w:lang w:val="en-GB"/>
              </w:rPr>
              <w:t xml:space="preserve">)”. </w:t>
            </w:r>
          </w:p>
        </w:tc>
        <w:tc>
          <w:tcPr>
            <w:tcW w:w="4363" w:type="dxa"/>
          </w:tcPr>
          <w:p w14:paraId="1ED08C48" w14:textId="77777777" w:rsidR="00170BAB" w:rsidRPr="003A0CB1" w:rsidRDefault="00170BAB" w:rsidP="00D426A8">
            <w:pPr>
              <w:jc w:val="both"/>
              <w:rPr>
                <w:rFonts w:asciiTheme="majorBidi" w:hAnsiTheme="majorBidi" w:cstheme="majorBidi"/>
                <w:lang w:val="en-GB"/>
              </w:rPr>
            </w:pPr>
          </w:p>
        </w:tc>
        <w:tc>
          <w:tcPr>
            <w:tcW w:w="2559" w:type="dxa"/>
          </w:tcPr>
          <w:p w14:paraId="41A27761" w14:textId="77777777" w:rsidR="00170BAB" w:rsidRPr="003A0CB1" w:rsidRDefault="00170BAB" w:rsidP="00D426A8">
            <w:pPr>
              <w:jc w:val="both"/>
              <w:rPr>
                <w:rFonts w:asciiTheme="majorBidi" w:hAnsiTheme="majorBidi" w:cstheme="majorBidi"/>
                <w:lang w:val="en-GB"/>
              </w:rPr>
            </w:pPr>
          </w:p>
        </w:tc>
      </w:tr>
      <w:tr w:rsidR="00FE0A45" w:rsidRPr="005B6D1F" w14:paraId="33C5C1D0" w14:textId="77777777" w:rsidTr="00D426A8">
        <w:tc>
          <w:tcPr>
            <w:tcW w:w="491" w:type="dxa"/>
            <w:shd w:val="clear" w:color="auto" w:fill="C36E73"/>
          </w:tcPr>
          <w:p w14:paraId="341FEA1B" w14:textId="44A91165" w:rsidR="00FE0A45" w:rsidRPr="003A0CB1" w:rsidRDefault="00FE0A45" w:rsidP="00FE0A45">
            <w:pPr>
              <w:jc w:val="center"/>
              <w:rPr>
                <w:b/>
                <w:bCs/>
                <w:color w:val="FFFFFF" w:themeColor="background1"/>
                <w:lang w:val="en-GB"/>
              </w:rPr>
            </w:pPr>
            <w:r w:rsidRPr="003A0CB1">
              <w:rPr>
                <w:b/>
                <w:bCs/>
                <w:color w:val="FFFFFF" w:themeColor="background1"/>
                <w:lang w:val="en-GB"/>
              </w:rPr>
              <w:t>22</w:t>
            </w:r>
          </w:p>
        </w:tc>
        <w:tc>
          <w:tcPr>
            <w:tcW w:w="2914" w:type="dxa"/>
            <w:shd w:val="clear" w:color="auto" w:fill="auto"/>
          </w:tcPr>
          <w:p w14:paraId="4764EFE4" w14:textId="250D1873" w:rsidR="00FE0A45" w:rsidRPr="003A0CB1" w:rsidRDefault="00FE0A45" w:rsidP="00FE0A45">
            <w:pPr>
              <w:rPr>
                <w:rFonts w:ascii="Segoe UI" w:hAnsi="Segoe UI" w:cs="Segoe UI"/>
                <w:b/>
                <w:bCs/>
                <w:color w:val="80181F"/>
                <w:lang w:val="en-GB"/>
              </w:rPr>
            </w:pPr>
            <w:r w:rsidRPr="003A0CB1">
              <w:rPr>
                <w:rFonts w:ascii="Segoe UI" w:hAnsi="Segoe UI" w:cs="Segoe UI"/>
                <w:b/>
                <w:bCs/>
                <w:color w:val="80181F"/>
                <w:lang w:val="en-GB"/>
              </w:rPr>
              <w:t>Other issues to highlight</w:t>
            </w:r>
          </w:p>
        </w:tc>
        <w:tc>
          <w:tcPr>
            <w:tcW w:w="3848" w:type="dxa"/>
          </w:tcPr>
          <w:p w14:paraId="0653CEC1" w14:textId="0615401E" w:rsidR="00FE0A45" w:rsidRPr="003A0CB1" w:rsidRDefault="00FE0A45" w:rsidP="00D426A8">
            <w:pPr>
              <w:jc w:val="both"/>
              <w:rPr>
                <w:rFonts w:asciiTheme="majorBidi" w:hAnsiTheme="majorBidi" w:cstheme="majorBidi"/>
                <w:lang w:val="en-GB"/>
              </w:rPr>
            </w:pPr>
            <w:r w:rsidRPr="003A0CB1">
              <w:rPr>
                <w:rFonts w:asciiTheme="majorBidi" w:hAnsiTheme="majorBidi" w:cstheme="majorBidi"/>
                <w:lang w:val="en-GB"/>
              </w:rPr>
              <w:t>Issues considered relevant to e-money and PSP regulations are N.A.</w:t>
            </w:r>
          </w:p>
        </w:tc>
        <w:tc>
          <w:tcPr>
            <w:tcW w:w="4363" w:type="dxa"/>
          </w:tcPr>
          <w:p w14:paraId="582F7C2E" w14:textId="77777777" w:rsidR="00FE0A45" w:rsidRPr="003A0CB1" w:rsidRDefault="00FE0A45" w:rsidP="00D426A8">
            <w:pPr>
              <w:jc w:val="both"/>
              <w:rPr>
                <w:rFonts w:asciiTheme="majorBidi" w:hAnsiTheme="majorBidi" w:cstheme="majorBidi"/>
                <w:lang w:val="en-GB"/>
              </w:rPr>
            </w:pPr>
          </w:p>
        </w:tc>
        <w:tc>
          <w:tcPr>
            <w:tcW w:w="2559" w:type="dxa"/>
          </w:tcPr>
          <w:p w14:paraId="30BBE826" w14:textId="77777777" w:rsidR="00FE0A45" w:rsidRPr="003A0CB1" w:rsidRDefault="00FE0A45" w:rsidP="00D426A8">
            <w:pPr>
              <w:jc w:val="both"/>
              <w:rPr>
                <w:rFonts w:asciiTheme="majorBidi" w:hAnsiTheme="majorBidi" w:cstheme="majorBidi"/>
                <w:lang w:val="en-GB"/>
              </w:rPr>
            </w:pPr>
          </w:p>
        </w:tc>
      </w:tr>
    </w:tbl>
    <w:p w14:paraId="6196E3F7" w14:textId="77777777" w:rsidR="009C37BF" w:rsidRPr="003A0CB1" w:rsidRDefault="009C37BF">
      <w:pPr>
        <w:rPr>
          <w:b/>
          <w:bCs/>
          <w:u w:val="single"/>
          <w:lang w:val="en-GB"/>
        </w:rPr>
      </w:pPr>
    </w:p>
    <w:p w14:paraId="512D2F14" w14:textId="77777777" w:rsidR="00375307" w:rsidRPr="003A0CB1" w:rsidRDefault="00375307" w:rsidP="00375307">
      <w:pPr>
        <w:keepNext/>
        <w:rPr>
          <w:rFonts w:ascii="Segoe UI" w:hAnsi="Segoe UI" w:cs="Segoe UI"/>
          <w:b/>
          <w:bCs/>
          <w:color w:val="80181F"/>
          <w:lang w:val="en-GB"/>
        </w:rPr>
      </w:pPr>
      <w:r w:rsidRPr="003A0CB1">
        <w:rPr>
          <w:rFonts w:ascii="Segoe UI" w:hAnsi="Segoe UI" w:cs="Segoe UI"/>
          <w:b/>
          <w:bCs/>
          <w:color w:val="80181F"/>
          <w:lang w:val="en-GB"/>
        </w:rPr>
        <w:t>CHALLENGES &amp; RECOMMENDATIONS:</w:t>
      </w:r>
    </w:p>
    <w:p w14:paraId="68643935" w14:textId="5F98D5ED" w:rsidR="00464677" w:rsidRPr="003A0CB1" w:rsidRDefault="00464677" w:rsidP="00464677">
      <w:pPr>
        <w:jc w:val="both"/>
        <w:rPr>
          <w:rFonts w:asciiTheme="majorBidi" w:hAnsiTheme="majorBidi" w:cstheme="majorBidi"/>
          <w:lang w:val="en-GB"/>
        </w:rPr>
      </w:pPr>
      <w:r w:rsidRPr="003A0CB1">
        <w:rPr>
          <w:rFonts w:asciiTheme="majorBidi" w:hAnsiTheme="majorBidi" w:cstheme="majorBidi"/>
          <w:lang w:val="en-GB"/>
        </w:rPr>
        <w:t>The Central Bank of Jordan has established the regulatory framework for the proper provision of the money transfer services rather than the creation of complementary currency</w:t>
      </w:r>
    </w:p>
    <w:p w14:paraId="6603A084" w14:textId="77777777" w:rsidR="00375307" w:rsidRPr="003A0CB1" w:rsidRDefault="00375307" w:rsidP="00375307">
      <w:pPr>
        <w:keepNext/>
        <w:rPr>
          <w:rFonts w:asciiTheme="majorBidi" w:hAnsiTheme="majorBidi" w:cstheme="majorBidi"/>
          <w:b/>
          <w:bCs/>
          <w:color w:val="80181F"/>
          <w:lang w:val="en-GB"/>
        </w:rPr>
      </w:pPr>
      <w:r w:rsidRPr="003A0CB1">
        <w:rPr>
          <w:rFonts w:asciiTheme="majorBidi" w:hAnsiTheme="majorBidi" w:cstheme="majorBidi"/>
          <w:b/>
          <w:bCs/>
          <w:color w:val="80181F"/>
          <w:lang w:val="en-GB"/>
        </w:rPr>
        <w:t>MEASURES TO BE IMPLEMENTED:</w:t>
      </w:r>
    </w:p>
    <w:p w14:paraId="76F7F6FB" w14:textId="349E1974" w:rsidR="00375307" w:rsidRPr="003A0CB1" w:rsidRDefault="00464677" w:rsidP="001055FC">
      <w:pPr>
        <w:jc w:val="both"/>
        <w:rPr>
          <w:rFonts w:asciiTheme="majorBidi" w:hAnsiTheme="majorBidi" w:cstheme="majorBidi"/>
          <w:lang w:val="en-GB"/>
        </w:rPr>
      </w:pPr>
      <w:r w:rsidRPr="003A0CB1">
        <w:rPr>
          <w:rFonts w:asciiTheme="majorBidi" w:hAnsiTheme="majorBidi" w:cstheme="majorBidi"/>
          <w:lang w:val="en-GB"/>
        </w:rPr>
        <w:t>N.A.</w:t>
      </w:r>
    </w:p>
    <w:p w14:paraId="7610A9E7" w14:textId="77777777" w:rsidR="00661FB1" w:rsidRPr="003A0CB1" w:rsidRDefault="00661FB1" w:rsidP="00661FB1">
      <w:pPr>
        <w:rPr>
          <w:rFonts w:asciiTheme="majorBidi" w:hAnsiTheme="majorBidi" w:cstheme="majorBidi"/>
          <w:lang w:val="en-GB"/>
        </w:rPr>
      </w:pPr>
    </w:p>
    <w:p w14:paraId="21CAEA4E" w14:textId="77777777" w:rsidR="00375307" w:rsidRPr="003A0CB1" w:rsidRDefault="00375307" w:rsidP="00375307">
      <w:pPr>
        <w:keepNext/>
        <w:rPr>
          <w:rFonts w:asciiTheme="majorBidi" w:hAnsiTheme="majorBidi" w:cstheme="majorBidi"/>
          <w:b/>
          <w:bCs/>
          <w:color w:val="80181F"/>
          <w:lang w:val="en-GB"/>
        </w:rPr>
      </w:pPr>
      <w:r w:rsidRPr="003A0CB1">
        <w:rPr>
          <w:rFonts w:asciiTheme="majorBidi" w:hAnsiTheme="majorBidi" w:cstheme="majorBidi"/>
          <w:b/>
          <w:bCs/>
          <w:color w:val="80181F"/>
          <w:lang w:val="en-GB"/>
        </w:rPr>
        <w:t>OTHER INTERESTING SUGGESTIONS/NOTES:</w:t>
      </w:r>
    </w:p>
    <w:p w14:paraId="00F59568" w14:textId="6ACFFF78" w:rsidR="00375307" w:rsidRPr="003A0CB1" w:rsidRDefault="00821490" w:rsidP="00832AA3">
      <w:pPr>
        <w:rPr>
          <w:rFonts w:asciiTheme="majorBidi" w:hAnsiTheme="majorBidi" w:cstheme="majorBidi"/>
          <w:lang w:val="en-GB"/>
        </w:rPr>
      </w:pPr>
      <w:bookmarkStart w:id="1" w:name="_Hlk77696174"/>
      <w:r w:rsidRPr="003A0CB1">
        <w:rPr>
          <w:rFonts w:asciiTheme="majorBidi" w:hAnsiTheme="majorBidi" w:cstheme="majorBidi"/>
          <w:lang w:val="en-GB"/>
        </w:rPr>
        <w:t>N.A</w:t>
      </w:r>
    </w:p>
    <w:p w14:paraId="5E10602C" w14:textId="77777777" w:rsidR="00832AA3" w:rsidRPr="003A0CB1" w:rsidRDefault="00832AA3" w:rsidP="00832AA3">
      <w:pPr>
        <w:rPr>
          <w:rFonts w:asciiTheme="majorBidi" w:hAnsiTheme="majorBidi" w:cstheme="majorBidi"/>
          <w:lang w:val="en-GB"/>
        </w:rPr>
      </w:pPr>
    </w:p>
    <w:bookmarkEnd w:id="1"/>
    <w:p w14:paraId="68717831" w14:textId="77777777" w:rsidR="00375307" w:rsidRPr="003A0CB1" w:rsidRDefault="00375307" w:rsidP="00375307">
      <w:pPr>
        <w:keepNext/>
        <w:rPr>
          <w:rFonts w:asciiTheme="majorBidi" w:hAnsiTheme="majorBidi" w:cstheme="majorBidi"/>
          <w:b/>
          <w:bCs/>
          <w:color w:val="80181F"/>
          <w:lang w:val="en-GB"/>
        </w:rPr>
      </w:pPr>
      <w:r w:rsidRPr="003A0CB1">
        <w:rPr>
          <w:rFonts w:asciiTheme="majorBidi" w:hAnsiTheme="majorBidi" w:cstheme="majorBidi"/>
          <w:b/>
          <w:bCs/>
          <w:color w:val="80181F"/>
          <w:lang w:val="en-GB"/>
        </w:rPr>
        <w:t>IDENTIFIED CONFLICTING ISSUES (if any):</w:t>
      </w:r>
    </w:p>
    <w:p w14:paraId="4F0C1E9C" w14:textId="77777777" w:rsidR="00832AA3" w:rsidRPr="003A0CB1" w:rsidRDefault="00832AA3" w:rsidP="00832AA3">
      <w:pPr>
        <w:rPr>
          <w:rFonts w:asciiTheme="majorBidi" w:hAnsiTheme="majorBidi" w:cstheme="majorBidi"/>
          <w:lang w:val="en-GB"/>
        </w:rPr>
      </w:pPr>
      <w:r w:rsidRPr="003A0CB1">
        <w:rPr>
          <w:rFonts w:asciiTheme="majorBidi" w:hAnsiTheme="majorBidi" w:cstheme="majorBidi"/>
          <w:lang w:val="en-GB"/>
        </w:rPr>
        <w:t>N.A.</w:t>
      </w:r>
    </w:p>
    <w:p w14:paraId="4473C98A" w14:textId="77777777" w:rsidR="00375307" w:rsidRPr="003A0CB1" w:rsidRDefault="00375307" w:rsidP="00375307">
      <w:pPr>
        <w:rPr>
          <w:rFonts w:asciiTheme="majorBidi" w:hAnsiTheme="majorBidi" w:cstheme="majorBidi"/>
          <w:b/>
          <w:bCs/>
          <w:u w:val="single"/>
          <w:lang w:val="en-GB"/>
        </w:rPr>
      </w:pPr>
    </w:p>
    <w:p w14:paraId="29079A76" w14:textId="77777777" w:rsidR="00375307" w:rsidRPr="003A0CB1" w:rsidRDefault="00375307" w:rsidP="00375307">
      <w:pPr>
        <w:keepNext/>
        <w:rPr>
          <w:rFonts w:asciiTheme="majorBidi" w:hAnsiTheme="majorBidi" w:cstheme="majorBidi"/>
          <w:b/>
          <w:bCs/>
          <w:color w:val="80181F"/>
          <w:lang w:val="en-GB"/>
        </w:rPr>
      </w:pPr>
      <w:r w:rsidRPr="003A0CB1">
        <w:rPr>
          <w:rFonts w:asciiTheme="majorBidi" w:hAnsiTheme="majorBidi" w:cstheme="majorBidi"/>
          <w:b/>
          <w:bCs/>
          <w:color w:val="80181F"/>
          <w:lang w:val="en-GB"/>
        </w:rPr>
        <w:lastRenderedPageBreak/>
        <w:t xml:space="preserve">EXAMPLES OF ACTIONS DEVELOPED IN THE FIELD OF SSE IN THE COUNTRY, REFERENCES AND HOW THEY HAVE BEEN DEVELOPED </w:t>
      </w:r>
      <w:r w:rsidRPr="003A0CB1">
        <w:rPr>
          <w:rFonts w:asciiTheme="majorBidi" w:hAnsiTheme="majorBidi" w:cstheme="majorBidi"/>
          <w:b/>
          <w:bCs/>
          <w:color w:val="80181F"/>
          <w:lang w:val="en-GB"/>
        </w:rPr>
        <w:br/>
        <w:t>(if any):</w:t>
      </w:r>
    </w:p>
    <w:p w14:paraId="7E088FD5" w14:textId="20712388" w:rsidR="00133B60" w:rsidRPr="00BD73B5" w:rsidRDefault="00832AA3" w:rsidP="00BD5AC0">
      <w:pPr>
        <w:rPr>
          <w:rFonts w:asciiTheme="majorBidi" w:hAnsiTheme="majorBidi" w:cstheme="majorBidi"/>
          <w:lang w:val="en-GB"/>
        </w:rPr>
      </w:pPr>
      <w:r w:rsidRPr="003A0CB1">
        <w:rPr>
          <w:rFonts w:asciiTheme="majorBidi" w:hAnsiTheme="majorBidi" w:cstheme="majorBidi"/>
          <w:lang w:val="en-GB"/>
        </w:rPr>
        <w:t>N.A.</w:t>
      </w:r>
    </w:p>
    <w:sectPr w:rsidR="00133B60" w:rsidRPr="00BD73B5" w:rsidSect="00375307">
      <w:headerReference w:type="first" r:id="rId10"/>
      <w:footerReference w:type="first" r:id="rId11"/>
      <w:pgSz w:w="16838" w:h="11906" w:orient="landscape"/>
      <w:pgMar w:top="1134"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38F54" w14:textId="77777777" w:rsidR="000D04AC" w:rsidRDefault="000D04AC" w:rsidP="00517002">
      <w:pPr>
        <w:spacing w:after="0" w:line="240" w:lineRule="auto"/>
      </w:pPr>
      <w:r>
        <w:separator/>
      </w:r>
    </w:p>
  </w:endnote>
  <w:endnote w:type="continuationSeparator" w:id="0">
    <w:p w14:paraId="129E699C" w14:textId="77777777" w:rsidR="000D04AC" w:rsidRDefault="000D04AC" w:rsidP="00517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altName w:val="Arial"/>
    <w:charset w:val="00"/>
    <w:family w:val="swiss"/>
    <w:pitch w:val="variable"/>
    <w:sig w:usb0="00000001" w:usb1="4000205B" w:usb2="00000028"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UI">
    <w:altName w:val="Times New Roman"/>
    <w:charset w:val="01"/>
    <w:family w:val="roman"/>
    <w:pitch w:val="variable"/>
  </w:font>
  <w:font w:name="Proxima Nova Rg">
    <w:altName w:val="Arial"/>
    <w:panose1 w:val="00000000000000000000"/>
    <w:charset w:val="00"/>
    <w:family w:val="modern"/>
    <w:notTrueType/>
    <w:pitch w:val="variable"/>
    <w:sig w:usb0="00000001" w:usb1="5000E0F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54FF7" w14:textId="530CC515" w:rsidR="006F1851" w:rsidRDefault="006F1851">
    <w:pPr>
      <w:pStyle w:val="Piedepgina"/>
    </w:pPr>
    <w:r w:rsidRPr="001C7D53">
      <w:rPr>
        <w:rFonts w:ascii="Proxima Nova Rg" w:hAnsi="Proxima Nova Rg"/>
        <w:noProof/>
        <w:lang w:eastAsia="es-ES"/>
      </w:rPr>
      <w:drawing>
        <wp:anchor distT="0" distB="0" distL="114300" distR="114300" simplePos="0" relativeHeight="251673600" behindDoc="0" locked="0" layoutInCell="1" allowOverlap="1" wp14:anchorId="2BF1A766" wp14:editId="7DEC40FD">
          <wp:simplePos x="0" y="0"/>
          <wp:positionH relativeFrom="margin">
            <wp:align>center</wp:align>
          </wp:positionH>
          <wp:positionV relativeFrom="paragraph">
            <wp:posOffset>-476250</wp:posOffset>
          </wp:positionV>
          <wp:extent cx="6621780" cy="583565"/>
          <wp:effectExtent l="0" t="0" r="7620" b="6985"/>
          <wp:wrapNone/>
          <wp:docPr id="87" name="Imagen 87" descr="C:\Users\MedTOWN #3\AppData\Local\Microsoft\Windows\INetCache\Content.Word\MedTOWN Logos partners together_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edTOWN #3\AppData\Local\Microsoft\Windows\INetCache\Content.Word\MedTOWN Logos partners together_All.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621780"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ES"/>
      </w:rPr>
      <w:drawing>
        <wp:anchor distT="0" distB="0" distL="114300" distR="114300" simplePos="0" relativeHeight="251667456" behindDoc="1" locked="0" layoutInCell="1" allowOverlap="1" wp14:anchorId="2152A88D" wp14:editId="7B18F50C">
          <wp:simplePos x="0" y="0"/>
          <wp:positionH relativeFrom="page">
            <wp:posOffset>-15627</wp:posOffset>
          </wp:positionH>
          <wp:positionV relativeFrom="page">
            <wp:posOffset>9947275</wp:posOffset>
          </wp:positionV>
          <wp:extent cx="7962872" cy="744938"/>
          <wp:effectExtent l="0" t="0" r="635" b="0"/>
          <wp:wrapNone/>
          <wp:docPr id="10" name="Imagen 10"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7B630" w14:textId="160A0384" w:rsidR="006F1851" w:rsidRDefault="006F1851">
    <w:pPr>
      <w:pStyle w:val="Piedepgina"/>
    </w:pPr>
    <w:r>
      <w:rPr>
        <w:noProof/>
        <w:lang w:eastAsia="es-ES"/>
      </w:rPr>
      <w:drawing>
        <wp:anchor distT="0" distB="0" distL="114300" distR="114300" simplePos="0" relativeHeight="251663360" behindDoc="1" locked="0" layoutInCell="1" allowOverlap="1" wp14:anchorId="1935A1DE" wp14:editId="7C19E4DF">
          <wp:simplePos x="0" y="0"/>
          <wp:positionH relativeFrom="page">
            <wp:align>left</wp:align>
          </wp:positionH>
          <wp:positionV relativeFrom="page">
            <wp:align>bottom</wp:align>
          </wp:positionV>
          <wp:extent cx="7962872" cy="744938"/>
          <wp:effectExtent l="0" t="0" r="635" b="0"/>
          <wp:wrapNone/>
          <wp:docPr id="7" name="Imagen 7"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621A7" w14:textId="77777777" w:rsidR="000D04AC" w:rsidRDefault="000D04AC" w:rsidP="00517002">
      <w:pPr>
        <w:spacing w:after="0" w:line="240" w:lineRule="auto"/>
      </w:pPr>
      <w:r>
        <w:separator/>
      </w:r>
    </w:p>
  </w:footnote>
  <w:footnote w:type="continuationSeparator" w:id="0">
    <w:p w14:paraId="259519BA" w14:textId="77777777" w:rsidR="000D04AC" w:rsidRDefault="000D04AC" w:rsidP="00517002">
      <w:pPr>
        <w:spacing w:after="0" w:line="240" w:lineRule="auto"/>
      </w:pPr>
      <w:r>
        <w:continuationSeparator/>
      </w:r>
    </w:p>
  </w:footnote>
  <w:footnote w:id="1">
    <w:p w14:paraId="2D881CC5" w14:textId="77777777" w:rsidR="006F1851" w:rsidRPr="00040B96" w:rsidRDefault="006F1851">
      <w:pPr>
        <w:pStyle w:val="Textonotapie"/>
        <w:rPr>
          <w:lang w:val="en-GB"/>
        </w:rPr>
      </w:pPr>
      <w:r>
        <w:rPr>
          <w:rStyle w:val="Refdenotaalpie"/>
        </w:rPr>
        <w:footnoteRef/>
      </w:r>
      <w:r w:rsidRPr="00040B96">
        <w:rPr>
          <w:lang w:val="en-GB"/>
        </w:rPr>
        <w:t xml:space="preserve"> </w:t>
      </w:r>
      <w:r>
        <w:rPr>
          <w:lang w:val="en-GB"/>
        </w:rPr>
        <w:t>Especially related to the Social Solidarity Economy (SSE).</w:t>
      </w:r>
    </w:p>
  </w:footnote>
  <w:footnote w:id="2">
    <w:p w14:paraId="7A272C95" w14:textId="77777777" w:rsidR="006F1851" w:rsidRPr="00040B96" w:rsidRDefault="006F1851">
      <w:pPr>
        <w:pStyle w:val="Textonotapie"/>
        <w:rPr>
          <w:lang w:val="en-GB"/>
        </w:rPr>
      </w:pPr>
      <w:r>
        <w:rPr>
          <w:rStyle w:val="Refdenotaalpie"/>
        </w:rPr>
        <w:footnoteRef/>
      </w:r>
      <w:r w:rsidRPr="00040B96">
        <w:rPr>
          <w:lang w:val="en-GB"/>
        </w:rPr>
        <w:t xml:space="preserve"> </w:t>
      </w:r>
      <w:r>
        <w:rPr>
          <w:lang w:val="en-GB"/>
        </w:rPr>
        <w:t>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45CA3" w14:textId="041E0E82" w:rsidR="006F1851" w:rsidRDefault="006F1851">
    <w:pPr>
      <w:pStyle w:val="Encabezado"/>
    </w:pPr>
    <w:r w:rsidRPr="009F0381">
      <w:rPr>
        <w:rFonts w:ascii="Myriad Pro" w:eastAsia="Times New Roman" w:hAnsi="Myriad Pro"/>
        <w:bCs/>
        <w:noProof/>
        <w:color w:val="39499B"/>
        <w:kern w:val="36"/>
        <w:sz w:val="28"/>
        <w:szCs w:val="28"/>
        <w:lang w:eastAsia="es-ES"/>
      </w:rPr>
      <w:drawing>
        <wp:anchor distT="0" distB="0" distL="114300" distR="114300" simplePos="0" relativeHeight="251671552" behindDoc="0" locked="0" layoutInCell="1" allowOverlap="1" wp14:anchorId="3E8FF539" wp14:editId="4A0D63D3">
          <wp:simplePos x="0" y="0"/>
          <wp:positionH relativeFrom="margin">
            <wp:align>left</wp:align>
          </wp:positionH>
          <wp:positionV relativeFrom="page">
            <wp:align>top</wp:align>
          </wp:positionV>
          <wp:extent cx="3708000" cy="1440000"/>
          <wp:effectExtent l="0" t="0" r="0" b="0"/>
          <wp:wrapTopAndBottom/>
          <wp:docPr id="11" name="Imagen 11"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8000" cy="144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E33E7">
      <w:rPr>
        <w:noProof/>
        <w:lang w:eastAsia="es-ES"/>
      </w:rPr>
      <w:drawing>
        <wp:anchor distT="0" distB="0" distL="114300" distR="114300" simplePos="0" relativeHeight="251666432" behindDoc="0" locked="0" layoutInCell="1" allowOverlap="1" wp14:anchorId="7356478A" wp14:editId="101F381E">
          <wp:simplePos x="0" y="0"/>
          <wp:positionH relativeFrom="margin">
            <wp:align>right</wp:align>
          </wp:positionH>
          <wp:positionV relativeFrom="paragraph">
            <wp:posOffset>-125950</wp:posOffset>
          </wp:positionV>
          <wp:extent cx="1239347" cy="574128"/>
          <wp:effectExtent l="0" t="0" r="0" b="0"/>
          <wp:wrapNone/>
          <wp:docPr id="8" name="Imagen 8"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960D7" w14:textId="7EA2E2F3" w:rsidR="006F1851" w:rsidRDefault="006F1851">
    <w:pPr>
      <w:pStyle w:val="Encabezado"/>
    </w:pPr>
    <w:r w:rsidRPr="008E33E7">
      <w:rPr>
        <w:noProof/>
        <w:lang w:eastAsia="es-ES"/>
      </w:rPr>
      <w:drawing>
        <wp:anchor distT="0" distB="0" distL="114300" distR="114300" simplePos="0" relativeHeight="251661312" behindDoc="0" locked="0" layoutInCell="1" allowOverlap="1" wp14:anchorId="49E97724" wp14:editId="694F927B">
          <wp:simplePos x="0" y="0"/>
          <wp:positionH relativeFrom="margin">
            <wp:align>right</wp:align>
          </wp:positionH>
          <wp:positionV relativeFrom="paragraph">
            <wp:posOffset>-124212</wp:posOffset>
          </wp:positionV>
          <wp:extent cx="1239347" cy="574128"/>
          <wp:effectExtent l="0" t="0" r="0" b="0"/>
          <wp:wrapNone/>
          <wp:docPr id="5" name="Imagen 5"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s-ES"/>
      </w:rPr>
      <w:drawing>
        <wp:anchor distT="0" distB="0" distL="114300" distR="114300" simplePos="0" relativeHeight="251659264" behindDoc="0" locked="0" layoutInCell="1" allowOverlap="1" wp14:anchorId="7700046B" wp14:editId="33787021">
          <wp:simplePos x="0" y="0"/>
          <wp:positionH relativeFrom="margin">
            <wp:align>left</wp:align>
          </wp:positionH>
          <wp:positionV relativeFrom="page">
            <wp:align>top</wp:align>
          </wp:positionV>
          <wp:extent cx="3849370" cy="1513840"/>
          <wp:effectExtent l="0" t="0" r="0" b="0"/>
          <wp:wrapTopAndBottom/>
          <wp:docPr id="6" name="Imagen 6" descr="C:\Users\MedTOWN #3\AppData\Local\Microsoft\Windows\INetCache\Content.Word\en_medt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49370" cy="1513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A0D35"/>
    <w:multiLevelType w:val="hybridMultilevel"/>
    <w:tmpl w:val="AEF68A64"/>
    <w:lvl w:ilvl="0" w:tplc="662409B0">
      <w:start w:val="6"/>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66F01"/>
    <w:multiLevelType w:val="hybridMultilevel"/>
    <w:tmpl w:val="C6EAA3B4"/>
    <w:lvl w:ilvl="0" w:tplc="1C98511A">
      <w:start w:val="4"/>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6FD1BF3"/>
    <w:multiLevelType w:val="hybridMultilevel"/>
    <w:tmpl w:val="CCFED118"/>
    <w:lvl w:ilvl="0" w:tplc="22B4D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3B6962"/>
    <w:multiLevelType w:val="hybridMultilevel"/>
    <w:tmpl w:val="0A166EE8"/>
    <w:lvl w:ilvl="0" w:tplc="D12E74AA">
      <w:start w:val="3"/>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9E3428C"/>
    <w:multiLevelType w:val="hybridMultilevel"/>
    <w:tmpl w:val="E466A114"/>
    <w:lvl w:ilvl="0" w:tplc="662409B0">
      <w:start w:val="6"/>
      <w:numFmt w:val="bullet"/>
      <w:lvlText w:val="-"/>
      <w:lvlJc w:val="left"/>
      <w:pPr>
        <w:ind w:left="885" w:hanging="360"/>
      </w:pPr>
      <w:rPr>
        <w:rFonts w:ascii="Times New Roman" w:eastAsia="Times New Roman" w:hAnsi="Times New Roman" w:cs="Times New Roman" w:hint="default"/>
        <w:color w:val="auto"/>
      </w:rPr>
    </w:lvl>
    <w:lvl w:ilvl="1" w:tplc="E83A94C2">
      <w:start w:val="1"/>
      <w:numFmt w:val="decimal"/>
      <w:lvlText w:val="%2-"/>
      <w:lvlJc w:val="left"/>
      <w:pPr>
        <w:ind w:left="360" w:hanging="360"/>
      </w:pPr>
      <w:rPr>
        <w:rFonts w:asciiTheme="majorBidi" w:eastAsia="Calibri" w:hAnsiTheme="majorBidi" w:cstheme="majorBidi"/>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5" w15:restartNumberingAfterBreak="0">
    <w:nsid w:val="200F0F03"/>
    <w:multiLevelType w:val="hybridMultilevel"/>
    <w:tmpl w:val="929E43B2"/>
    <w:lvl w:ilvl="0" w:tplc="662409B0">
      <w:start w:val="6"/>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A615BA"/>
    <w:multiLevelType w:val="hybridMultilevel"/>
    <w:tmpl w:val="61021B4C"/>
    <w:lvl w:ilvl="0" w:tplc="662409B0">
      <w:start w:val="6"/>
      <w:numFmt w:val="bullet"/>
      <w:lvlText w:val="-"/>
      <w:lvlJc w:val="left"/>
      <w:pPr>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AC87B9A"/>
    <w:multiLevelType w:val="hybridMultilevel"/>
    <w:tmpl w:val="07024ACC"/>
    <w:lvl w:ilvl="0" w:tplc="662409B0">
      <w:start w:val="6"/>
      <w:numFmt w:val="bullet"/>
      <w:lvlText w:val="-"/>
      <w:lvlJc w:val="left"/>
      <w:pPr>
        <w:ind w:left="1440" w:hanging="360"/>
      </w:pPr>
      <w:rPr>
        <w:rFonts w:ascii="Times New Roman" w:eastAsia="Times New Roman" w:hAnsi="Times New Roman"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3190AFA"/>
    <w:multiLevelType w:val="hybridMultilevel"/>
    <w:tmpl w:val="91A62E38"/>
    <w:lvl w:ilvl="0" w:tplc="9E9AFF1C">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5E22EC8"/>
    <w:multiLevelType w:val="multilevel"/>
    <w:tmpl w:val="BF10797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0" w15:restartNumberingAfterBreak="0">
    <w:nsid w:val="48F817E9"/>
    <w:multiLevelType w:val="multilevel"/>
    <w:tmpl w:val="E57EB0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DC111B"/>
    <w:multiLevelType w:val="hybridMultilevel"/>
    <w:tmpl w:val="732A88BC"/>
    <w:lvl w:ilvl="0" w:tplc="5C34B904">
      <w:start w:val="5"/>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6D8C55C5"/>
    <w:multiLevelType w:val="hybridMultilevel"/>
    <w:tmpl w:val="E214A07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7826118A"/>
    <w:multiLevelType w:val="hybridMultilevel"/>
    <w:tmpl w:val="12A6CE56"/>
    <w:lvl w:ilvl="0" w:tplc="22B4D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8"/>
  </w:num>
  <w:num w:numId="3">
    <w:abstractNumId w:val="3"/>
  </w:num>
  <w:num w:numId="4">
    <w:abstractNumId w:val="1"/>
  </w:num>
  <w:num w:numId="5">
    <w:abstractNumId w:val="11"/>
  </w:num>
  <w:num w:numId="6">
    <w:abstractNumId w:val="5"/>
  </w:num>
  <w:num w:numId="7">
    <w:abstractNumId w:val="6"/>
  </w:num>
  <w:num w:numId="8">
    <w:abstractNumId w:val="7"/>
  </w:num>
  <w:num w:numId="9">
    <w:abstractNumId w:val="4"/>
  </w:num>
  <w:num w:numId="10">
    <w:abstractNumId w:val="0"/>
  </w:num>
  <w:num w:numId="11">
    <w:abstractNumId w:val="10"/>
  </w:num>
  <w:num w:numId="12">
    <w:abstractNumId w:val="9"/>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331"/>
    <w:rsid w:val="00003121"/>
    <w:rsid w:val="00033C8F"/>
    <w:rsid w:val="00040B96"/>
    <w:rsid w:val="00043BF0"/>
    <w:rsid w:val="000639D7"/>
    <w:rsid w:val="00071537"/>
    <w:rsid w:val="00076314"/>
    <w:rsid w:val="000853A6"/>
    <w:rsid w:val="00090F8B"/>
    <w:rsid w:val="000A73F3"/>
    <w:rsid w:val="000C2CB3"/>
    <w:rsid w:val="000D04AC"/>
    <w:rsid w:val="000D65D3"/>
    <w:rsid w:val="000F7B7F"/>
    <w:rsid w:val="001055FC"/>
    <w:rsid w:val="00106AE0"/>
    <w:rsid w:val="0011566B"/>
    <w:rsid w:val="00115E2D"/>
    <w:rsid w:val="00117E04"/>
    <w:rsid w:val="00133B60"/>
    <w:rsid w:val="00151BFC"/>
    <w:rsid w:val="00154528"/>
    <w:rsid w:val="001573A6"/>
    <w:rsid w:val="00163D4B"/>
    <w:rsid w:val="00170BAB"/>
    <w:rsid w:val="0017721E"/>
    <w:rsid w:val="00183DC2"/>
    <w:rsid w:val="001C74A9"/>
    <w:rsid w:val="00221252"/>
    <w:rsid w:val="00260B7D"/>
    <w:rsid w:val="002702B8"/>
    <w:rsid w:val="00275B5C"/>
    <w:rsid w:val="00286331"/>
    <w:rsid w:val="00294FA8"/>
    <w:rsid w:val="002E0375"/>
    <w:rsid w:val="002E6F19"/>
    <w:rsid w:val="00305C32"/>
    <w:rsid w:val="00307160"/>
    <w:rsid w:val="0031639E"/>
    <w:rsid w:val="00324ECD"/>
    <w:rsid w:val="00372C57"/>
    <w:rsid w:val="00375307"/>
    <w:rsid w:val="00382316"/>
    <w:rsid w:val="00387297"/>
    <w:rsid w:val="00387E9B"/>
    <w:rsid w:val="003A0CB1"/>
    <w:rsid w:val="003A1CB8"/>
    <w:rsid w:val="003C3D62"/>
    <w:rsid w:val="00412031"/>
    <w:rsid w:val="00450ED6"/>
    <w:rsid w:val="004574DF"/>
    <w:rsid w:val="00462DD2"/>
    <w:rsid w:val="00464677"/>
    <w:rsid w:val="00476CD7"/>
    <w:rsid w:val="00490BB4"/>
    <w:rsid w:val="004C7E58"/>
    <w:rsid w:val="004E091C"/>
    <w:rsid w:val="005036B9"/>
    <w:rsid w:val="005140F2"/>
    <w:rsid w:val="00516016"/>
    <w:rsid w:val="00517002"/>
    <w:rsid w:val="005259D0"/>
    <w:rsid w:val="00530C34"/>
    <w:rsid w:val="00534368"/>
    <w:rsid w:val="0054125B"/>
    <w:rsid w:val="00561263"/>
    <w:rsid w:val="005817EA"/>
    <w:rsid w:val="005B4DE1"/>
    <w:rsid w:val="005B6D1F"/>
    <w:rsid w:val="005C4102"/>
    <w:rsid w:val="005E183D"/>
    <w:rsid w:val="00612412"/>
    <w:rsid w:val="006142A5"/>
    <w:rsid w:val="00661FB1"/>
    <w:rsid w:val="00663068"/>
    <w:rsid w:val="006851A6"/>
    <w:rsid w:val="00691AD8"/>
    <w:rsid w:val="006C4794"/>
    <w:rsid w:val="006F1851"/>
    <w:rsid w:val="006F2982"/>
    <w:rsid w:val="007009B0"/>
    <w:rsid w:val="00740C5D"/>
    <w:rsid w:val="00757D91"/>
    <w:rsid w:val="00767B7D"/>
    <w:rsid w:val="00770BF8"/>
    <w:rsid w:val="00772903"/>
    <w:rsid w:val="00795D55"/>
    <w:rsid w:val="007A539F"/>
    <w:rsid w:val="007C25CB"/>
    <w:rsid w:val="007D5659"/>
    <w:rsid w:val="007D6EE7"/>
    <w:rsid w:val="007E30D7"/>
    <w:rsid w:val="007E3FD9"/>
    <w:rsid w:val="007F507C"/>
    <w:rsid w:val="00805B3A"/>
    <w:rsid w:val="00807C3E"/>
    <w:rsid w:val="00821490"/>
    <w:rsid w:val="008317B3"/>
    <w:rsid w:val="00832AA3"/>
    <w:rsid w:val="00862E99"/>
    <w:rsid w:val="00870E05"/>
    <w:rsid w:val="008832CE"/>
    <w:rsid w:val="008852E3"/>
    <w:rsid w:val="00886380"/>
    <w:rsid w:val="0088732C"/>
    <w:rsid w:val="008A7EC9"/>
    <w:rsid w:val="008C0792"/>
    <w:rsid w:val="008C1C8F"/>
    <w:rsid w:val="008C4699"/>
    <w:rsid w:val="008F1E4A"/>
    <w:rsid w:val="008F33B4"/>
    <w:rsid w:val="0097771D"/>
    <w:rsid w:val="009C37BF"/>
    <w:rsid w:val="009C7715"/>
    <w:rsid w:val="009F4C53"/>
    <w:rsid w:val="00A30807"/>
    <w:rsid w:val="00A42AB4"/>
    <w:rsid w:val="00A42B2E"/>
    <w:rsid w:val="00A42F93"/>
    <w:rsid w:val="00A70BFD"/>
    <w:rsid w:val="00AD4667"/>
    <w:rsid w:val="00AF1507"/>
    <w:rsid w:val="00B02C05"/>
    <w:rsid w:val="00B103B0"/>
    <w:rsid w:val="00B14CAE"/>
    <w:rsid w:val="00B204ED"/>
    <w:rsid w:val="00B22CFC"/>
    <w:rsid w:val="00B554D1"/>
    <w:rsid w:val="00B6691C"/>
    <w:rsid w:val="00B75373"/>
    <w:rsid w:val="00BD420C"/>
    <w:rsid w:val="00BD5AC0"/>
    <w:rsid w:val="00BD73B5"/>
    <w:rsid w:val="00BE4FE8"/>
    <w:rsid w:val="00C618DA"/>
    <w:rsid w:val="00C61E1C"/>
    <w:rsid w:val="00C65D8A"/>
    <w:rsid w:val="00C75947"/>
    <w:rsid w:val="00C86241"/>
    <w:rsid w:val="00C862AF"/>
    <w:rsid w:val="00C86F4F"/>
    <w:rsid w:val="00CE23AA"/>
    <w:rsid w:val="00CE4A50"/>
    <w:rsid w:val="00D25625"/>
    <w:rsid w:val="00D27AC1"/>
    <w:rsid w:val="00D33311"/>
    <w:rsid w:val="00D426A8"/>
    <w:rsid w:val="00DB45E7"/>
    <w:rsid w:val="00DD7622"/>
    <w:rsid w:val="00DE0C03"/>
    <w:rsid w:val="00DF28D0"/>
    <w:rsid w:val="00E02B35"/>
    <w:rsid w:val="00E07B08"/>
    <w:rsid w:val="00E14664"/>
    <w:rsid w:val="00E632D8"/>
    <w:rsid w:val="00E7477C"/>
    <w:rsid w:val="00EA3955"/>
    <w:rsid w:val="00EB2C67"/>
    <w:rsid w:val="00EB3947"/>
    <w:rsid w:val="00EC6B9E"/>
    <w:rsid w:val="00EE7FBB"/>
    <w:rsid w:val="00F02EC1"/>
    <w:rsid w:val="00F4678B"/>
    <w:rsid w:val="00F51651"/>
    <w:rsid w:val="00F56EFC"/>
    <w:rsid w:val="00F73D50"/>
    <w:rsid w:val="00FD669D"/>
    <w:rsid w:val="00FE0A45"/>
    <w:rsid w:val="00FE251A"/>
    <w:rsid w:val="00FE7447"/>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0C7CD"/>
  <w15:chartTrackingRefBased/>
  <w15:docId w15:val="{D0DCCF8D-51EE-4229-804C-E9FE3894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Encabezado">
    <w:name w:val="header"/>
    <w:basedOn w:val="Normal"/>
    <w:link w:val="EncabezadoCar"/>
    <w:uiPriority w:val="99"/>
    <w:unhideWhenUsed/>
    <w:rsid w:val="00C8624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86241"/>
  </w:style>
  <w:style w:type="paragraph" w:styleId="Piedepgina">
    <w:name w:val="footer"/>
    <w:basedOn w:val="Normal"/>
    <w:link w:val="PiedepginaCar"/>
    <w:uiPriority w:val="99"/>
    <w:unhideWhenUsed/>
    <w:rsid w:val="00C8624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86241"/>
  </w:style>
  <w:style w:type="character" w:styleId="Hipervnculo">
    <w:name w:val="Hyperlink"/>
    <w:basedOn w:val="Fuentedeprrafopredeter"/>
    <w:uiPriority w:val="99"/>
    <w:unhideWhenUsed/>
    <w:rsid w:val="00C86241"/>
    <w:rPr>
      <w:color w:val="0563C1" w:themeColor="hyperlink"/>
      <w:u w:val="single"/>
    </w:rPr>
  </w:style>
  <w:style w:type="paragraph" w:styleId="NormalWeb">
    <w:name w:val="Normal (Web)"/>
    <w:basedOn w:val="Normal"/>
    <w:uiPriority w:val="99"/>
    <w:semiHidden/>
    <w:unhideWhenUsed/>
    <w:rsid w:val="00C86241"/>
    <w:pPr>
      <w:spacing w:before="100" w:beforeAutospacing="1" w:after="100" w:afterAutospacing="1" w:line="240" w:lineRule="auto"/>
    </w:pPr>
    <w:rPr>
      <w:rFonts w:ascii="Times New Roman" w:eastAsiaTheme="minorEastAsia" w:hAnsi="Times New Roman" w:cs="Times New Roman"/>
      <w:sz w:val="24"/>
      <w:szCs w:val="24"/>
      <w:lang w:eastAsia="es-ES"/>
    </w:rPr>
  </w:style>
  <w:style w:type="character" w:styleId="Refdecomentario">
    <w:name w:val="annotation reference"/>
    <w:basedOn w:val="Fuentedeprrafopredeter"/>
    <w:uiPriority w:val="99"/>
    <w:semiHidden/>
    <w:unhideWhenUsed/>
    <w:rsid w:val="00375307"/>
    <w:rPr>
      <w:sz w:val="16"/>
      <w:szCs w:val="16"/>
    </w:rPr>
  </w:style>
  <w:style w:type="paragraph" w:styleId="Textocomentario">
    <w:name w:val="annotation text"/>
    <w:basedOn w:val="Normal"/>
    <w:link w:val="TextocomentarioCar"/>
    <w:uiPriority w:val="99"/>
    <w:semiHidden/>
    <w:unhideWhenUsed/>
    <w:rsid w:val="0037530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75307"/>
    <w:rPr>
      <w:sz w:val="20"/>
      <w:szCs w:val="20"/>
    </w:rPr>
  </w:style>
  <w:style w:type="paragraph" w:styleId="Textodeglobo">
    <w:name w:val="Balloon Text"/>
    <w:basedOn w:val="Normal"/>
    <w:link w:val="TextodegloboCar"/>
    <w:uiPriority w:val="99"/>
    <w:semiHidden/>
    <w:unhideWhenUsed/>
    <w:rsid w:val="0037530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75307"/>
    <w:rPr>
      <w:rFonts w:ascii="Segoe UI" w:hAnsi="Segoe UI" w:cs="Segoe UI"/>
      <w:sz w:val="18"/>
      <w:szCs w:val="18"/>
    </w:rPr>
  </w:style>
  <w:style w:type="table" w:customStyle="1" w:styleId="Tablaconcuadrcula1">
    <w:name w:val="Tabla con cuadrícula1"/>
    <w:basedOn w:val="Tablanormal"/>
    <w:next w:val="Tablaconcuadrcula"/>
    <w:uiPriority w:val="39"/>
    <w:rsid w:val="00375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Fuentedeprrafopredeter"/>
    <w:link w:val="Other0"/>
    <w:rsid w:val="00B75373"/>
    <w:rPr>
      <w:rFonts w:ascii="Calibri" w:eastAsia="Calibri" w:hAnsi="Calibri" w:cs="Calibri"/>
    </w:rPr>
  </w:style>
  <w:style w:type="paragraph" w:customStyle="1" w:styleId="Other0">
    <w:name w:val="Other"/>
    <w:basedOn w:val="Normal"/>
    <w:link w:val="Other"/>
    <w:rsid w:val="00B75373"/>
    <w:pPr>
      <w:widowControl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40418">
      <w:bodyDiv w:val="1"/>
      <w:marLeft w:val="0"/>
      <w:marRight w:val="0"/>
      <w:marTop w:val="0"/>
      <w:marBottom w:val="0"/>
      <w:divBdr>
        <w:top w:val="none" w:sz="0" w:space="0" w:color="auto"/>
        <w:left w:val="none" w:sz="0" w:space="0" w:color="auto"/>
        <w:bottom w:val="none" w:sz="0" w:space="0" w:color="auto"/>
        <w:right w:val="none" w:sz="0" w:space="0" w:color="auto"/>
      </w:divBdr>
    </w:div>
    <w:div w:id="133917435">
      <w:bodyDiv w:val="1"/>
      <w:marLeft w:val="0"/>
      <w:marRight w:val="0"/>
      <w:marTop w:val="0"/>
      <w:marBottom w:val="0"/>
      <w:divBdr>
        <w:top w:val="none" w:sz="0" w:space="0" w:color="auto"/>
        <w:left w:val="none" w:sz="0" w:space="0" w:color="auto"/>
        <w:bottom w:val="none" w:sz="0" w:space="0" w:color="auto"/>
        <w:right w:val="none" w:sz="0" w:space="0" w:color="auto"/>
      </w:divBdr>
    </w:div>
    <w:div w:id="383719917">
      <w:bodyDiv w:val="1"/>
      <w:marLeft w:val="0"/>
      <w:marRight w:val="0"/>
      <w:marTop w:val="0"/>
      <w:marBottom w:val="0"/>
      <w:divBdr>
        <w:top w:val="none" w:sz="0" w:space="0" w:color="auto"/>
        <w:left w:val="none" w:sz="0" w:space="0" w:color="auto"/>
        <w:bottom w:val="none" w:sz="0" w:space="0" w:color="auto"/>
        <w:right w:val="none" w:sz="0" w:space="0" w:color="auto"/>
      </w:divBdr>
    </w:div>
    <w:div w:id="390811107">
      <w:bodyDiv w:val="1"/>
      <w:marLeft w:val="0"/>
      <w:marRight w:val="0"/>
      <w:marTop w:val="0"/>
      <w:marBottom w:val="0"/>
      <w:divBdr>
        <w:top w:val="none" w:sz="0" w:space="0" w:color="auto"/>
        <w:left w:val="none" w:sz="0" w:space="0" w:color="auto"/>
        <w:bottom w:val="none" w:sz="0" w:space="0" w:color="auto"/>
        <w:right w:val="none" w:sz="0" w:space="0" w:color="auto"/>
      </w:divBdr>
    </w:div>
    <w:div w:id="789519992">
      <w:bodyDiv w:val="1"/>
      <w:marLeft w:val="0"/>
      <w:marRight w:val="0"/>
      <w:marTop w:val="0"/>
      <w:marBottom w:val="0"/>
      <w:divBdr>
        <w:top w:val="none" w:sz="0" w:space="0" w:color="auto"/>
        <w:left w:val="none" w:sz="0" w:space="0" w:color="auto"/>
        <w:bottom w:val="none" w:sz="0" w:space="0" w:color="auto"/>
        <w:right w:val="none" w:sz="0" w:space="0" w:color="auto"/>
      </w:divBdr>
    </w:div>
    <w:div w:id="1079904699">
      <w:bodyDiv w:val="1"/>
      <w:marLeft w:val="0"/>
      <w:marRight w:val="0"/>
      <w:marTop w:val="0"/>
      <w:marBottom w:val="0"/>
      <w:divBdr>
        <w:top w:val="none" w:sz="0" w:space="0" w:color="auto"/>
        <w:left w:val="none" w:sz="0" w:space="0" w:color="auto"/>
        <w:bottom w:val="none" w:sz="0" w:space="0" w:color="auto"/>
        <w:right w:val="none" w:sz="0" w:space="0" w:color="auto"/>
      </w:divBdr>
    </w:div>
    <w:div w:id="1232346890">
      <w:bodyDiv w:val="1"/>
      <w:marLeft w:val="0"/>
      <w:marRight w:val="0"/>
      <w:marTop w:val="0"/>
      <w:marBottom w:val="0"/>
      <w:divBdr>
        <w:top w:val="none" w:sz="0" w:space="0" w:color="auto"/>
        <w:left w:val="none" w:sz="0" w:space="0" w:color="auto"/>
        <w:bottom w:val="none" w:sz="0" w:space="0" w:color="auto"/>
        <w:right w:val="none" w:sz="0" w:space="0" w:color="auto"/>
      </w:divBdr>
    </w:div>
    <w:div w:id="1709183850">
      <w:bodyDiv w:val="1"/>
      <w:marLeft w:val="0"/>
      <w:marRight w:val="0"/>
      <w:marTop w:val="0"/>
      <w:marBottom w:val="0"/>
      <w:divBdr>
        <w:top w:val="none" w:sz="0" w:space="0" w:color="auto"/>
        <w:left w:val="none" w:sz="0" w:space="0" w:color="auto"/>
        <w:bottom w:val="none" w:sz="0" w:space="0" w:color="auto"/>
        <w:right w:val="none" w:sz="0" w:space="0" w:color="auto"/>
      </w:divBdr>
    </w:div>
    <w:div w:id="201760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2C382-7757-448A-984D-BF31FC054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15</Pages>
  <Words>3180</Words>
  <Characters>17496</Characters>
  <Application>Microsoft Office Word</Application>
  <DocSecurity>0</DocSecurity>
  <Lines>145</Lines>
  <Paragraphs>41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c:description/>
  <cp:lastModifiedBy>MedTOWN #1</cp:lastModifiedBy>
  <cp:revision>12</cp:revision>
  <dcterms:created xsi:type="dcterms:W3CDTF">2022-09-22T17:33:00Z</dcterms:created>
  <dcterms:modified xsi:type="dcterms:W3CDTF">2024-01-17T13:28:00Z</dcterms:modified>
</cp:coreProperties>
</file>